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3EB248">
      <w:pPr>
        <w:autoSpaceDE w:val="0"/>
        <w:autoSpaceDN w:val="0"/>
        <w:adjustRightInd w:val="0"/>
        <w:spacing w:line="300" w:lineRule="auto"/>
        <w:jc w:val="center"/>
        <w:rPr>
          <w:rFonts w:hint="eastAsia" w:ascii="仿宋" w:hAnsi="仿宋" w:eastAsia="仿宋" w:cs="仿宋"/>
          <w:b/>
          <w:color w:val="auto"/>
          <w:sz w:val="36"/>
          <w:szCs w:val="36"/>
          <w:highlight w:val="none"/>
        </w:rPr>
      </w:pPr>
      <w:r>
        <w:rPr>
          <w:rFonts w:hint="eastAsia" w:ascii="黑体" w:hAnsi="黑体" w:eastAsia="黑体" w:cs="黑体"/>
          <w:b/>
          <w:bCs/>
          <w:color w:val="auto"/>
          <w:sz w:val="44"/>
          <w:szCs w:val="44"/>
          <w:highlight w:val="none"/>
        </w:rPr>
        <w:t>南昌应用技术师范学院</w:t>
      </w:r>
      <w:r>
        <w:rPr>
          <w:rFonts w:hint="eastAsia" w:ascii="黑体" w:hAnsi="黑体" w:eastAsia="黑体" w:cs="黑体"/>
          <w:b/>
          <w:bCs/>
          <w:color w:val="auto"/>
          <w:kern w:val="0"/>
          <w:sz w:val="44"/>
          <w:szCs w:val="44"/>
          <w:highlight w:val="none"/>
          <w:lang w:eastAsia="zh-CN"/>
        </w:rPr>
        <w:t>工程维修设备维护维保</w:t>
      </w:r>
      <w:r>
        <w:rPr>
          <w:rFonts w:hint="eastAsia" w:ascii="黑体" w:hAnsi="黑体" w:eastAsia="黑体" w:cs="黑体"/>
          <w:b/>
          <w:bCs/>
          <w:color w:val="auto"/>
          <w:kern w:val="0"/>
          <w:sz w:val="44"/>
          <w:szCs w:val="44"/>
          <w:highlight w:val="none"/>
        </w:rPr>
        <w:t>管理合同</w:t>
      </w:r>
    </w:p>
    <w:p w14:paraId="3F6B96FA">
      <w:pPr>
        <w:autoSpaceDE w:val="0"/>
        <w:autoSpaceDN w:val="0"/>
        <w:adjustRightInd w:val="0"/>
        <w:spacing w:line="300" w:lineRule="auto"/>
        <w:ind w:firstLine="560" w:firstLineChars="200"/>
        <w:rPr>
          <w:rFonts w:hint="eastAsia" w:ascii="仿宋" w:hAnsi="仿宋" w:eastAsia="仿宋" w:cs="仿宋"/>
          <w:color w:val="auto"/>
          <w:kern w:val="0"/>
          <w:sz w:val="28"/>
          <w:szCs w:val="28"/>
          <w:highlight w:val="none"/>
        </w:rPr>
      </w:pPr>
    </w:p>
    <w:p w14:paraId="408F0037">
      <w:pPr>
        <w:kinsoku/>
        <w:wordWrap/>
        <w:overflowPunct/>
        <w:topLinePunct w:val="0"/>
        <w:autoSpaceDE/>
        <w:autoSpaceDN/>
        <w:bidi w:val="0"/>
        <w:adjustRightInd/>
        <w:snapToGrid/>
        <w:spacing w:line="480" w:lineRule="auto"/>
        <w:ind w:firstLine="602" w:firstLineChars="200"/>
        <w:textAlignment w:val="auto"/>
        <w:rPr>
          <w:rFonts w:hint="eastAsia" w:ascii="宋体" w:hAnsi="宋体" w:eastAsia="宋体" w:cs="宋体"/>
          <w:color w:val="auto"/>
          <w:sz w:val="30"/>
          <w:szCs w:val="30"/>
          <w:highlight w:val="none"/>
        </w:rPr>
      </w:pPr>
      <w:r>
        <w:rPr>
          <w:rFonts w:hint="eastAsia" w:ascii="宋体" w:hAnsi="宋体" w:eastAsia="宋体" w:cs="宋体"/>
          <w:b/>
          <w:bCs/>
          <w:color w:val="auto"/>
          <w:sz w:val="30"/>
          <w:szCs w:val="30"/>
          <w:highlight w:val="none"/>
        </w:rPr>
        <w:t>甲方：南昌应用技术师范学院</w:t>
      </w:r>
    </w:p>
    <w:p w14:paraId="41CADD96">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b w:val="0"/>
          <w:bCs w:val="0"/>
          <w:color w:val="auto"/>
          <w:sz w:val="30"/>
          <w:szCs w:val="30"/>
          <w:highlight w:val="none"/>
          <w:u w:val="none"/>
        </w:rPr>
        <w:t>法定代表人/负责人：</w:t>
      </w:r>
      <w:r>
        <w:rPr>
          <w:rFonts w:hint="eastAsia" w:ascii="宋体" w:hAnsi="宋体" w:eastAsia="宋体" w:cs="宋体"/>
          <w:b w:val="0"/>
          <w:bCs w:val="0"/>
          <w:color w:val="auto"/>
          <w:sz w:val="30"/>
          <w:szCs w:val="30"/>
          <w:highlight w:val="none"/>
          <w:u w:val="none"/>
          <w:lang w:val="en-US" w:eastAsia="zh-CN"/>
        </w:rPr>
        <w:t>蒋宏</w:t>
      </w:r>
    </w:p>
    <w:p w14:paraId="018E1392">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通讯地址：江西省九江市共青城市江益镇南昌应用技术师范学院</w:t>
      </w:r>
    </w:p>
    <w:p w14:paraId="7C7D5778">
      <w:pPr>
        <w:kinsoku/>
        <w:wordWrap/>
        <w:overflowPunct/>
        <w:topLinePunct w:val="0"/>
        <w:autoSpaceDE/>
        <w:autoSpaceDN/>
        <w:bidi w:val="0"/>
        <w:adjustRightInd/>
        <w:snapToGrid/>
        <w:spacing w:line="480" w:lineRule="auto"/>
        <w:ind w:firstLine="602" w:firstLineChars="200"/>
        <w:textAlignment w:val="auto"/>
        <w:rPr>
          <w:rFonts w:hint="default" w:ascii="宋体" w:hAnsi="宋体" w:eastAsia="宋体" w:cs="宋体"/>
          <w:color w:val="auto"/>
          <w:sz w:val="30"/>
          <w:szCs w:val="30"/>
          <w:highlight w:val="none"/>
          <w:u w:val="single"/>
          <w:lang w:val="en-US" w:eastAsia="zh-CN"/>
        </w:rPr>
        <w:pPrChange w:id="0" w:author="Administrator" w:date="2025-09-28T15:29:00Z">
          <w:pPr>
            <w:kinsoku/>
            <w:wordWrap/>
            <w:overflowPunct/>
            <w:topLinePunct w:val="0"/>
            <w:autoSpaceDE/>
            <w:autoSpaceDN/>
            <w:bidi w:val="0"/>
            <w:adjustRightInd/>
            <w:snapToGrid/>
            <w:spacing w:line="480" w:lineRule="auto"/>
            <w:ind w:firstLine="602" w:firstLineChars="200"/>
            <w:textAlignment w:val="auto"/>
          </w:pPr>
        </w:pPrChange>
      </w:pPr>
      <w:r>
        <w:rPr>
          <w:rFonts w:hint="eastAsia" w:ascii="宋体" w:hAnsi="宋体" w:eastAsia="宋体" w:cs="宋体"/>
          <w:b/>
          <w:bCs/>
          <w:color w:val="auto"/>
          <w:sz w:val="30"/>
          <w:szCs w:val="30"/>
          <w:highlight w:val="none"/>
        </w:rPr>
        <w:t>乙方：</w:t>
      </w:r>
      <w:r>
        <w:rPr>
          <w:rFonts w:hint="eastAsia" w:ascii="宋体" w:hAnsi="宋体" w:eastAsia="宋体" w:cs="宋体"/>
          <w:b w:val="0"/>
          <w:bCs w:val="0"/>
          <w:color w:val="auto"/>
          <w:sz w:val="30"/>
          <w:szCs w:val="30"/>
          <w:highlight w:val="none"/>
          <w:u w:val="single"/>
          <w:lang w:val="en-US" w:eastAsia="zh-CN"/>
        </w:rPr>
        <w:t xml:space="preserve">                                                </w:t>
      </w:r>
    </w:p>
    <w:p w14:paraId="23878DF3">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b w:val="0"/>
          <w:bCs w:val="0"/>
          <w:color w:val="auto"/>
          <w:sz w:val="30"/>
          <w:szCs w:val="30"/>
          <w:highlight w:val="none"/>
        </w:rPr>
        <w:t>法定代表人/负责人：</w:t>
      </w:r>
      <w:r>
        <w:rPr>
          <w:rFonts w:hint="eastAsia" w:ascii="宋体" w:hAnsi="宋体" w:eastAsia="宋体" w:cs="宋体"/>
          <w:b w:val="0"/>
          <w:bCs w:val="0"/>
          <w:color w:val="auto"/>
          <w:sz w:val="30"/>
          <w:szCs w:val="30"/>
          <w:highlight w:val="none"/>
          <w:u w:val="single"/>
          <w:lang w:val="en-US" w:eastAsia="zh-CN"/>
        </w:rPr>
        <w:t xml:space="preserve">                                   </w:t>
      </w:r>
    </w:p>
    <w:p w14:paraId="436AFBCC">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通讯地址：</w:t>
      </w:r>
      <w:r>
        <w:rPr>
          <w:rFonts w:hint="eastAsia" w:ascii="宋体" w:hAnsi="宋体" w:eastAsia="宋体" w:cs="宋体"/>
          <w:color w:val="auto"/>
          <w:sz w:val="30"/>
          <w:szCs w:val="30"/>
          <w:highlight w:val="none"/>
          <w:u w:val="single"/>
          <w:lang w:val="en-US" w:eastAsia="zh-CN"/>
        </w:rPr>
        <w:t xml:space="preserve">                                            </w:t>
      </w:r>
      <w:r>
        <w:rPr>
          <w:rFonts w:hint="eastAsia" w:ascii="宋体" w:hAnsi="宋体" w:eastAsia="宋体" w:cs="宋体"/>
          <w:color w:val="auto"/>
          <w:sz w:val="30"/>
          <w:szCs w:val="30"/>
          <w:highlight w:val="none"/>
        </w:rPr>
        <w:t>　　　</w:t>
      </w:r>
    </w:p>
    <w:p w14:paraId="61DCB644">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rPr>
        <w:t>为创造更好的校园秩序和卫生环境，提高</w:t>
      </w:r>
      <w:r>
        <w:rPr>
          <w:rFonts w:hint="eastAsia" w:ascii="宋体" w:hAnsi="宋体" w:eastAsia="宋体" w:cs="宋体"/>
          <w:color w:val="auto"/>
          <w:sz w:val="30"/>
          <w:szCs w:val="30"/>
          <w:highlight w:val="none"/>
          <w:lang w:eastAsia="zh-CN"/>
        </w:rPr>
        <w:t>工程维修设备维护维保</w:t>
      </w:r>
      <w:r>
        <w:rPr>
          <w:rFonts w:hint="eastAsia" w:ascii="宋体" w:hAnsi="宋体" w:eastAsia="宋体" w:cs="宋体"/>
          <w:color w:val="auto"/>
          <w:sz w:val="30"/>
          <w:szCs w:val="30"/>
          <w:highlight w:val="none"/>
        </w:rPr>
        <w:t>服务水平，以适应学校发展的要求。根据平等、自愿原则，双方经过充分协商的基础上，甲方就南昌应用技术师范学院现有的</w:t>
      </w:r>
      <w:r>
        <w:rPr>
          <w:rFonts w:hint="eastAsia" w:ascii="宋体" w:hAnsi="宋体" w:eastAsia="宋体" w:cs="宋体"/>
          <w:color w:val="auto"/>
          <w:sz w:val="30"/>
          <w:szCs w:val="30"/>
          <w:highlight w:val="none"/>
          <w:lang w:val="en-US" w:eastAsia="zh-CN"/>
        </w:rPr>
        <w:t>教学楼、图书馆</w:t>
      </w:r>
      <w:r>
        <w:rPr>
          <w:rFonts w:hint="eastAsia" w:ascii="宋体" w:hAnsi="宋体" w:eastAsia="宋体" w:cs="宋体"/>
          <w:color w:val="auto"/>
          <w:sz w:val="30"/>
          <w:szCs w:val="30"/>
          <w:highlight w:val="none"/>
        </w:rPr>
        <w:t>、</w:t>
      </w:r>
      <w:r>
        <w:rPr>
          <w:rFonts w:hint="eastAsia" w:ascii="宋体" w:hAnsi="宋体" w:eastAsia="宋体" w:cs="宋体"/>
          <w:color w:val="auto"/>
          <w:sz w:val="30"/>
          <w:szCs w:val="30"/>
          <w:highlight w:val="none"/>
          <w:lang w:val="en-US" w:eastAsia="zh-CN"/>
        </w:rPr>
        <w:t>实训楼</w:t>
      </w:r>
      <w:r>
        <w:rPr>
          <w:rFonts w:hint="eastAsia" w:ascii="宋体" w:hAnsi="宋体" w:eastAsia="宋体" w:cs="宋体"/>
          <w:color w:val="auto"/>
          <w:sz w:val="30"/>
          <w:szCs w:val="30"/>
          <w:highlight w:val="none"/>
        </w:rPr>
        <w:t>等</w:t>
      </w:r>
      <w:r>
        <w:rPr>
          <w:rFonts w:hint="eastAsia" w:ascii="宋体" w:hAnsi="宋体" w:eastAsia="宋体" w:cs="宋体"/>
          <w:color w:val="auto"/>
          <w:sz w:val="30"/>
          <w:szCs w:val="30"/>
          <w:highlight w:val="none"/>
          <w:lang w:eastAsia="zh-CN"/>
        </w:rPr>
        <w:t>工程维修设备维护维保</w:t>
      </w:r>
      <w:r>
        <w:rPr>
          <w:rFonts w:hint="eastAsia" w:ascii="宋体" w:hAnsi="宋体" w:eastAsia="宋体" w:cs="宋体"/>
          <w:color w:val="auto"/>
          <w:sz w:val="30"/>
          <w:szCs w:val="30"/>
          <w:highlight w:val="none"/>
        </w:rPr>
        <w:t>管理水电保障等项目，委托乙方实行专业、规范、安全、高质量的</w:t>
      </w:r>
      <w:r>
        <w:rPr>
          <w:rFonts w:hint="eastAsia" w:ascii="宋体" w:hAnsi="宋体" w:eastAsia="宋体" w:cs="宋体"/>
          <w:color w:val="auto"/>
          <w:sz w:val="30"/>
          <w:szCs w:val="30"/>
          <w:highlight w:val="none"/>
          <w:lang w:eastAsia="zh-CN"/>
        </w:rPr>
        <w:t>工程维修设备维护维保</w:t>
      </w:r>
      <w:r>
        <w:rPr>
          <w:rFonts w:hint="eastAsia" w:ascii="宋体" w:hAnsi="宋体" w:eastAsia="宋体" w:cs="宋体"/>
          <w:color w:val="auto"/>
          <w:sz w:val="30"/>
          <w:szCs w:val="30"/>
          <w:highlight w:val="none"/>
        </w:rPr>
        <w:t>服务，并就有关</w:t>
      </w:r>
      <w:r>
        <w:rPr>
          <w:rFonts w:hint="eastAsia" w:ascii="宋体" w:hAnsi="宋体" w:eastAsia="宋体" w:cs="宋体"/>
          <w:color w:val="auto"/>
          <w:sz w:val="30"/>
          <w:szCs w:val="30"/>
          <w:highlight w:val="none"/>
          <w:lang w:val="en-US" w:eastAsia="zh-CN"/>
        </w:rPr>
        <w:t>服务</w:t>
      </w:r>
      <w:r>
        <w:rPr>
          <w:rFonts w:hint="eastAsia" w:ascii="宋体" w:hAnsi="宋体" w:eastAsia="宋体" w:cs="宋体"/>
          <w:color w:val="auto"/>
          <w:sz w:val="30"/>
          <w:szCs w:val="30"/>
          <w:highlight w:val="none"/>
        </w:rPr>
        <w:t>事宜签订本合同。</w:t>
      </w:r>
      <w:r>
        <w:rPr>
          <w:rFonts w:hint="eastAsia" w:ascii="宋体" w:hAnsi="宋体" w:eastAsia="宋体" w:cs="宋体"/>
          <w:color w:val="auto"/>
          <w:sz w:val="30"/>
          <w:szCs w:val="30"/>
          <w:highlight w:val="none"/>
          <w:lang w:val="en-US" w:eastAsia="zh-CN"/>
        </w:rPr>
        <w:t xml:space="preserve">                </w:t>
      </w:r>
    </w:p>
    <w:p w14:paraId="08F463E3">
      <w:pPr>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30"/>
          <w:szCs w:val="30"/>
          <w:highlight w:val="none"/>
        </w:rPr>
      </w:pPr>
      <w:r>
        <w:rPr>
          <w:rFonts w:hint="eastAsia" w:ascii="宋体" w:hAnsi="宋体" w:eastAsia="宋体" w:cs="宋体"/>
          <w:b/>
          <w:bCs/>
          <w:color w:val="auto"/>
          <w:sz w:val="30"/>
          <w:szCs w:val="30"/>
          <w:highlight w:val="none"/>
        </w:rPr>
        <w:t xml:space="preserve">第一条 </w:t>
      </w:r>
      <w:r>
        <w:rPr>
          <w:rFonts w:hint="eastAsia" w:ascii="宋体" w:hAnsi="宋体" w:eastAsia="宋体" w:cs="宋体"/>
          <w:b/>
          <w:bCs/>
          <w:color w:val="auto"/>
          <w:sz w:val="30"/>
          <w:szCs w:val="30"/>
          <w:highlight w:val="none"/>
          <w:lang w:eastAsia="zh-CN"/>
        </w:rPr>
        <w:t>工程维修设备维护维保</w:t>
      </w:r>
      <w:r>
        <w:rPr>
          <w:rFonts w:hint="eastAsia" w:ascii="宋体" w:hAnsi="宋体" w:eastAsia="宋体" w:cs="宋体"/>
          <w:b/>
          <w:bCs/>
          <w:color w:val="auto"/>
          <w:sz w:val="30"/>
          <w:szCs w:val="30"/>
          <w:highlight w:val="none"/>
        </w:rPr>
        <w:t>项目基本情况</w:t>
      </w:r>
    </w:p>
    <w:p w14:paraId="5CDEEDE5">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eastAsia="zh-CN"/>
        </w:rPr>
        <w:t>工程维修设备维护维保</w:t>
      </w:r>
      <w:r>
        <w:rPr>
          <w:rFonts w:hint="eastAsia" w:ascii="宋体" w:hAnsi="宋体" w:eastAsia="宋体" w:cs="宋体"/>
          <w:color w:val="auto"/>
          <w:sz w:val="30"/>
          <w:szCs w:val="30"/>
          <w:highlight w:val="none"/>
        </w:rPr>
        <w:t>项目（以下简称“本项目”）名称：南昌应用技术师范学院</w:t>
      </w:r>
    </w:p>
    <w:p w14:paraId="5938EB3A">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lang w:val="en-US" w:eastAsia="zh-CN"/>
        </w:rPr>
        <w:t>1、赣新校区</w:t>
      </w:r>
    </w:p>
    <w:p w14:paraId="3E021F3A">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eastAsia="zh-CN"/>
        </w:rPr>
      </w:pPr>
      <w:r>
        <w:rPr>
          <w:rFonts w:hint="eastAsia" w:ascii="宋体" w:hAnsi="宋体" w:eastAsia="宋体" w:cs="宋体"/>
          <w:color w:val="auto"/>
          <w:sz w:val="30"/>
          <w:szCs w:val="30"/>
          <w:highlight w:val="none"/>
        </w:rPr>
        <w:t>坐落位置：江西省九江市共青城市学府大道以南、学府大道以西</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lang w:val="en-US" w:eastAsia="zh-CN"/>
        </w:rPr>
        <w:t>南昌应用技术师范学院内</w:t>
      </w:r>
      <w:r>
        <w:rPr>
          <w:rFonts w:hint="eastAsia" w:ascii="宋体" w:hAnsi="宋体" w:eastAsia="宋体" w:cs="宋体"/>
          <w:color w:val="auto"/>
          <w:sz w:val="30"/>
          <w:szCs w:val="30"/>
          <w:highlight w:val="none"/>
          <w:lang w:eastAsia="zh-CN"/>
        </w:rPr>
        <w:t>）</w:t>
      </w:r>
    </w:p>
    <w:p w14:paraId="208A0F6C">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占地面积：</w:t>
      </w:r>
      <w:r>
        <w:rPr>
          <w:rFonts w:hint="eastAsia" w:ascii="宋体" w:hAnsi="宋体" w:eastAsia="宋体" w:cs="宋体"/>
          <w:color w:val="auto"/>
          <w:sz w:val="30"/>
          <w:szCs w:val="30"/>
          <w:highlight w:val="none"/>
          <w:lang w:val="en-US" w:eastAsia="zh-CN"/>
        </w:rPr>
        <w:t>2100</w:t>
      </w:r>
      <w:r>
        <w:rPr>
          <w:rFonts w:hint="eastAsia" w:ascii="宋体" w:hAnsi="宋体" w:eastAsia="宋体" w:cs="宋体"/>
          <w:color w:val="auto"/>
          <w:sz w:val="30"/>
          <w:szCs w:val="30"/>
          <w:highlight w:val="none"/>
        </w:rPr>
        <w:t>亩</w:t>
      </w:r>
    </w:p>
    <w:p w14:paraId="25F0765E">
      <w:pPr>
        <w:kinsoku/>
        <w:wordWrap/>
        <w:overflowPunct/>
        <w:topLinePunct w:val="0"/>
        <w:autoSpaceDE/>
        <w:autoSpaceDN/>
        <w:bidi w:val="0"/>
        <w:adjustRightInd/>
        <w:snapToGrid/>
        <w:spacing w:line="480" w:lineRule="auto"/>
        <w:ind w:firstLine="600" w:firstLineChars="200"/>
        <w:textAlignment w:val="auto"/>
        <w:rPr>
          <w:rFonts w:hint="default" w:ascii="宋体" w:hAnsi="宋体" w:eastAsia="宋体" w:cs="宋体"/>
          <w:color w:val="FF0000"/>
          <w:sz w:val="30"/>
          <w:szCs w:val="30"/>
          <w:highlight w:val="none"/>
          <w:lang w:val="en-US" w:eastAsia="zh-CN"/>
        </w:rPr>
      </w:pPr>
      <w:r>
        <w:rPr>
          <w:rFonts w:hint="eastAsia" w:ascii="宋体" w:hAnsi="宋体" w:eastAsia="宋体" w:cs="宋体"/>
          <w:color w:val="auto"/>
          <w:sz w:val="30"/>
          <w:szCs w:val="30"/>
          <w:highlight w:val="none"/>
        </w:rPr>
        <w:t>建筑面积：</w:t>
      </w:r>
      <w:r>
        <w:rPr>
          <w:rFonts w:hint="eastAsia" w:ascii="宋体" w:hAnsi="宋体" w:eastAsia="宋体" w:cs="宋体"/>
          <w:color w:val="auto"/>
          <w:sz w:val="30"/>
          <w:szCs w:val="30"/>
          <w:highlight w:val="none"/>
          <w:lang w:val="en-US" w:eastAsia="zh-CN"/>
        </w:rPr>
        <w:t>718280.7万</w:t>
      </w:r>
      <w:r>
        <w:rPr>
          <w:rFonts w:hint="eastAsia" w:ascii="宋体" w:hAnsi="宋体" w:eastAsia="宋体" w:cs="宋体"/>
          <w:color w:val="auto"/>
          <w:sz w:val="30"/>
          <w:szCs w:val="30"/>
          <w:highlight w:val="none"/>
        </w:rPr>
        <w:t>平方米</w:t>
      </w:r>
      <w:r>
        <w:rPr>
          <w:rFonts w:hint="eastAsia" w:ascii="宋体" w:hAnsi="宋体" w:eastAsia="宋体" w:cs="宋体"/>
          <w:color w:val="FF0000"/>
          <w:sz w:val="30"/>
          <w:szCs w:val="30"/>
          <w:highlight w:val="none"/>
          <w:lang w:eastAsia="zh-CN"/>
        </w:rPr>
        <w:t>（</w:t>
      </w:r>
      <w:r>
        <w:rPr>
          <w:rFonts w:hint="eastAsia" w:ascii="宋体" w:hAnsi="宋体" w:eastAsia="宋体" w:cs="宋体"/>
          <w:color w:val="FF0000"/>
          <w:sz w:val="30"/>
          <w:szCs w:val="30"/>
          <w:highlight w:val="none"/>
          <w:lang w:val="en-US" w:eastAsia="zh-CN"/>
        </w:rPr>
        <w:t>已启用478622.04万平方米）</w:t>
      </w:r>
    </w:p>
    <w:p w14:paraId="75EC611A">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 xml:space="preserve">第二条 </w:t>
      </w:r>
      <w:r>
        <w:rPr>
          <w:rFonts w:hint="eastAsia" w:ascii="宋体" w:hAnsi="宋体" w:eastAsia="宋体" w:cs="宋体"/>
          <w:b/>
          <w:bCs/>
          <w:color w:val="auto"/>
          <w:sz w:val="30"/>
          <w:szCs w:val="30"/>
          <w:highlight w:val="none"/>
          <w:lang w:eastAsia="zh-CN"/>
        </w:rPr>
        <w:t>工程维修设备维护维保</w:t>
      </w:r>
      <w:r>
        <w:rPr>
          <w:rFonts w:hint="eastAsia" w:ascii="宋体" w:hAnsi="宋体" w:eastAsia="宋体" w:cs="宋体"/>
          <w:b/>
          <w:bCs/>
          <w:color w:val="auto"/>
          <w:sz w:val="30"/>
          <w:szCs w:val="30"/>
          <w:highlight w:val="none"/>
        </w:rPr>
        <w:t>服务范围</w:t>
      </w:r>
    </w:p>
    <w:p w14:paraId="0678C79A">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eastAsia="zh-CN"/>
        </w:rPr>
      </w:pPr>
      <w:r>
        <w:rPr>
          <w:rFonts w:hint="eastAsia" w:ascii="宋体" w:hAnsi="宋体" w:eastAsia="宋体" w:cs="宋体"/>
          <w:color w:val="auto"/>
          <w:sz w:val="30"/>
          <w:szCs w:val="30"/>
          <w:highlight w:val="none"/>
          <w:lang w:val="en-US" w:eastAsia="zh-CN"/>
        </w:rPr>
        <w:t>1、</w:t>
      </w:r>
      <w:r>
        <w:rPr>
          <w:rFonts w:hint="eastAsia" w:ascii="宋体" w:hAnsi="宋体" w:eastAsia="宋体" w:cs="宋体"/>
          <w:color w:val="auto"/>
          <w:sz w:val="30"/>
          <w:szCs w:val="30"/>
          <w:highlight w:val="none"/>
          <w:lang w:eastAsia="zh-CN"/>
        </w:rPr>
        <w:t>工程维修设备维护维保</w:t>
      </w:r>
      <w:r>
        <w:rPr>
          <w:rFonts w:hint="eastAsia" w:ascii="宋体" w:hAnsi="宋体" w:eastAsia="宋体" w:cs="宋体"/>
          <w:color w:val="auto"/>
          <w:sz w:val="30"/>
          <w:szCs w:val="30"/>
          <w:highlight w:val="none"/>
        </w:rPr>
        <w:t>管理区域内</w:t>
      </w:r>
      <w:r>
        <w:rPr>
          <w:rFonts w:hint="eastAsia" w:ascii="宋体" w:hAnsi="宋体" w:eastAsia="宋体" w:cs="宋体"/>
          <w:color w:val="auto"/>
          <w:sz w:val="30"/>
          <w:szCs w:val="30"/>
          <w:highlight w:val="none"/>
          <w:lang w:eastAsia="zh-CN"/>
        </w:rPr>
        <w:t>工程维修设备维护维保</w:t>
      </w:r>
      <w:r>
        <w:rPr>
          <w:rFonts w:hint="eastAsia" w:ascii="宋体" w:hAnsi="宋体" w:eastAsia="宋体" w:cs="宋体"/>
          <w:color w:val="auto"/>
          <w:sz w:val="30"/>
          <w:szCs w:val="30"/>
          <w:highlight w:val="none"/>
        </w:rPr>
        <w:t>的水电</w:t>
      </w:r>
      <w:r>
        <w:rPr>
          <w:rFonts w:hint="eastAsia" w:ascii="宋体" w:hAnsi="宋体" w:eastAsia="宋体" w:cs="宋体"/>
          <w:color w:val="auto"/>
          <w:sz w:val="30"/>
          <w:szCs w:val="30"/>
          <w:highlight w:val="none"/>
          <w:lang w:val="en-US" w:eastAsia="zh-CN"/>
        </w:rPr>
        <w:t>运行</w:t>
      </w:r>
      <w:r>
        <w:rPr>
          <w:rFonts w:hint="eastAsia" w:ascii="宋体" w:hAnsi="宋体" w:eastAsia="宋体" w:cs="宋体"/>
          <w:color w:val="auto"/>
          <w:sz w:val="30"/>
          <w:szCs w:val="30"/>
          <w:highlight w:val="none"/>
        </w:rPr>
        <w:t>保障</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lang w:val="en-US" w:eastAsia="zh-CN"/>
        </w:rPr>
        <w:t>材料甲供</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rPr>
        <w:t>、管道疏通、</w:t>
      </w:r>
      <w:r>
        <w:rPr>
          <w:rFonts w:hint="eastAsia" w:ascii="宋体" w:hAnsi="宋体" w:eastAsia="宋体" w:cs="宋体"/>
          <w:color w:val="auto"/>
          <w:sz w:val="30"/>
          <w:szCs w:val="30"/>
          <w:highlight w:val="none"/>
          <w:lang w:eastAsia="zh-CN"/>
        </w:rPr>
        <w:t>木泥工（</w:t>
      </w:r>
      <w:r>
        <w:rPr>
          <w:rFonts w:hint="eastAsia" w:ascii="宋体" w:hAnsi="宋体" w:eastAsia="宋体" w:cs="宋体"/>
          <w:color w:val="auto"/>
          <w:sz w:val="30"/>
          <w:szCs w:val="30"/>
          <w:highlight w:val="none"/>
          <w:lang w:val="en-US" w:eastAsia="zh-CN"/>
        </w:rPr>
        <w:t>材料甲供</w:t>
      </w:r>
      <w:r>
        <w:rPr>
          <w:rFonts w:hint="eastAsia" w:ascii="宋体" w:hAnsi="宋体" w:eastAsia="宋体" w:cs="宋体"/>
          <w:color w:val="auto"/>
          <w:sz w:val="30"/>
          <w:szCs w:val="30"/>
          <w:highlight w:val="none"/>
          <w:lang w:eastAsia="zh-CN"/>
        </w:rPr>
        <w:t>）、日常零星维修（</w:t>
      </w:r>
      <w:r>
        <w:rPr>
          <w:rFonts w:hint="eastAsia" w:ascii="宋体" w:hAnsi="宋体" w:eastAsia="宋体" w:cs="宋体"/>
          <w:color w:val="auto"/>
          <w:sz w:val="30"/>
          <w:szCs w:val="30"/>
          <w:highlight w:val="none"/>
          <w:lang w:val="en-US" w:eastAsia="zh-CN"/>
        </w:rPr>
        <w:t>材料甲供</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lang w:val="en-US" w:eastAsia="zh-CN"/>
        </w:rPr>
        <w:t>二次水箱清理、柴油发电机组保养、低压出线柜除尘、电梯维护保养等</w:t>
      </w:r>
      <w:r>
        <w:rPr>
          <w:rFonts w:hint="eastAsia" w:ascii="宋体" w:hAnsi="宋体" w:eastAsia="宋体" w:cs="宋体"/>
          <w:color w:val="auto"/>
          <w:sz w:val="30"/>
          <w:szCs w:val="30"/>
          <w:highlight w:val="none"/>
        </w:rPr>
        <w:t>。</w:t>
      </w:r>
    </w:p>
    <w:p w14:paraId="7737AD13">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2、</w:t>
      </w:r>
      <w:r>
        <w:rPr>
          <w:rFonts w:hint="eastAsia" w:ascii="宋体" w:hAnsi="宋体" w:eastAsia="宋体" w:cs="宋体"/>
          <w:color w:val="auto"/>
          <w:sz w:val="30"/>
          <w:szCs w:val="30"/>
          <w:highlight w:val="none"/>
        </w:rPr>
        <w:t>按教学用房</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lang w:val="en-US" w:eastAsia="zh-CN"/>
        </w:rPr>
        <w:t>实训</w:t>
      </w:r>
      <w:bookmarkStart w:id="0" w:name="_GoBack"/>
      <w:bookmarkEnd w:id="0"/>
      <w:r>
        <w:rPr>
          <w:rFonts w:hint="eastAsia" w:ascii="宋体" w:hAnsi="宋体" w:eastAsia="宋体" w:cs="宋体"/>
          <w:color w:val="auto"/>
          <w:sz w:val="30"/>
          <w:szCs w:val="30"/>
          <w:highlight w:val="none"/>
        </w:rPr>
        <w:t>用房等管理细则要求及水电保障、节水节电等管理细则要求配备岗位工作人员和有相关执业资格的技术人员，并协助甲方有关部门做好学生行为日常管理，节水节电管理等工作。</w:t>
      </w:r>
    </w:p>
    <w:p w14:paraId="78A247A1">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3、</w:t>
      </w:r>
      <w:r>
        <w:rPr>
          <w:rFonts w:hint="eastAsia" w:ascii="宋体" w:hAnsi="宋体" w:eastAsia="宋体" w:cs="宋体"/>
          <w:color w:val="auto"/>
          <w:sz w:val="30"/>
          <w:szCs w:val="30"/>
          <w:highlight w:val="none"/>
        </w:rPr>
        <w:t>水电运行保障包括：高低压配电室、光伏电站、水泵房、</w:t>
      </w:r>
      <w:r>
        <w:rPr>
          <w:rFonts w:hint="eastAsia" w:ascii="宋体" w:hAnsi="宋体" w:eastAsia="宋体" w:cs="宋体"/>
          <w:color w:val="auto"/>
          <w:sz w:val="30"/>
          <w:szCs w:val="30"/>
          <w:highlight w:val="none"/>
          <w:lang w:eastAsia="zh-CN"/>
        </w:rPr>
        <w:t>柴油发电机组、</w:t>
      </w:r>
      <w:r>
        <w:rPr>
          <w:rFonts w:hint="eastAsia" w:ascii="宋体" w:hAnsi="宋体" w:eastAsia="宋体" w:cs="宋体"/>
          <w:color w:val="auto"/>
          <w:sz w:val="30"/>
          <w:szCs w:val="30"/>
          <w:highlight w:val="none"/>
        </w:rPr>
        <w:t>供水供电线路正常运行及维护等。</w:t>
      </w:r>
    </w:p>
    <w:p w14:paraId="4BE1F754">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lang w:val="en-US" w:eastAsia="zh-CN"/>
        </w:rPr>
        <w:t>4、工程改造、工程维修、设备维修改造等增值服务项目，经双方协商一致后单项计费。</w:t>
      </w:r>
    </w:p>
    <w:p w14:paraId="3CF7B31F">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三</w:t>
      </w:r>
      <w:r>
        <w:rPr>
          <w:rFonts w:hint="eastAsia" w:ascii="宋体" w:hAnsi="宋体" w:eastAsia="宋体" w:cs="宋体"/>
          <w:b/>
          <w:bCs/>
          <w:color w:val="auto"/>
          <w:sz w:val="30"/>
          <w:szCs w:val="30"/>
          <w:highlight w:val="none"/>
        </w:rPr>
        <w:t>条 合同期限</w:t>
      </w:r>
    </w:p>
    <w:p w14:paraId="3F0CDF84">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color w:val="auto"/>
          <w:sz w:val="30"/>
          <w:szCs w:val="30"/>
          <w:highlight w:val="none"/>
          <w:lang w:eastAsia="zh-CN"/>
        </w:rPr>
      </w:pPr>
      <w:r>
        <w:rPr>
          <w:rFonts w:hint="eastAsia" w:ascii="宋体" w:hAnsi="宋体" w:eastAsia="宋体" w:cs="宋体"/>
          <w:color w:val="auto"/>
          <w:sz w:val="30"/>
          <w:szCs w:val="30"/>
          <w:highlight w:val="none"/>
          <w:lang w:val="en-US" w:eastAsia="zh-CN"/>
        </w:rPr>
        <w:t>项目</w:t>
      </w:r>
      <w:r>
        <w:rPr>
          <w:rFonts w:hint="eastAsia" w:ascii="宋体" w:hAnsi="宋体" w:eastAsia="宋体" w:cs="宋体"/>
          <w:color w:val="auto"/>
          <w:sz w:val="30"/>
          <w:szCs w:val="30"/>
          <w:highlight w:val="none"/>
        </w:rPr>
        <w:t>服务期限为</w:t>
      </w:r>
      <w:r>
        <w:rPr>
          <w:rFonts w:hint="eastAsia" w:ascii="宋体" w:hAnsi="宋体" w:eastAsia="宋体" w:cs="宋体"/>
          <w:color w:val="auto"/>
          <w:sz w:val="30"/>
          <w:szCs w:val="30"/>
          <w:highlight w:val="none"/>
          <w:lang w:val="en-US" w:eastAsia="zh-CN"/>
        </w:rPr>
        <w:t>33个月</w:t>
      </w:r>
      <w:r>
        <w:rPr>
          <w:rFonts w:hint="eastAsia" w:ascii="宋体" w:hAnsi="宋体" w:eastAsia="宋体" w:cs="宋体"/>
          <w:color w:val="auto"/>
          <w:sz w:val="30"/>
          <w:szCs w:val="30"/>
          <w:highlight w:val="none"/>
        </w:rPr>
        <w:t>，本合同从签字</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lang w:val="en-US" w:eastAsia="zh-CN"/>
        </w:rPr>
        <w:t>盖章</w:t>
      </w:r>
      <w:r>
        <w:rPr>
          <w:rFonts w:hint="eastAsia" w:ascii="宋体" w:hAnsi="宋体" w:eastAsia="宋体" w:cs="宋体"/>
          <w:color w:val="auto"/>
          <w:sz w:val="30"/>
          <w:szCs w:val="30"/>
          <w:highlight w:val="none"/>
        </w:rPr>
        <w:t>之日起生效，合同有效期为202</w:t>
      </w:r>
      <w:r>
        <w:rPr>
          <w:rFonts w:hint="eastAsia" w:ascii="宋体" w:hAnsi="宋体" w:eastAsia="宋体" w:cs="宋体"/>
          <w:color w:val="auto"/>
          <w:sz w:val="30"/>
          <w:szCs w:val="30"/>
          <w:highlight w:val="none"/>
          <w:lang w:val="en-US" w:eastAsia="zh-CN"/>
        </w:rPr>
        <w:t>6</w:t>
      </w:r>
      <w:r>
        <w:rPr>
          <w:rFonts w:hint="eastAsia" w:ascii="宋体" w:hAnsi="宋体" w:eastAsia="宋体" w:cs="宋体"/>
          <w:color w:val="auto"/>
          <w:sz w:val="30"/>
          <w:szCs w:val="30"/>
          <w:highlight w:val="none"/>
        </w:rPr>
        <w:t>年</w:t>
      </w:r>
      <w:r>
        <w:rPr>
          <w:rFonts w:hint="eastAsia" w:ascii="宋体" w:hAnsi="宋体" w:eastAsia="宋体" w:cs="宋体"/>
          <w:color w:val="auto"/>
          <w:sz w:val="30"/>
          <w:szCs w:val="30"/>
          <w:highlight w:val="none"/>
          <w:lang w:val="en-US" w:eastAsia="zh-CN"/>
        </w:rPr>
        <w:t>4</w:t>
      </w:r>
      <w:r>
        <w:rPr>
          <w:rFonts w:hint="eastAsia" w:ascii="宋体" w:hAnsi="宋体" w:eastAsia="宋体" w:cs="宋体"/>
          <w:color w:val="auto"/>
          <w:sz w:val="30"/>
          <w:szCs w:val="30"/>
          <w:highlight w:val="none"/>
        </w:rPr>
        <w:t>月</w:t>
      </w:r>
      <w:r>
        <w:rPr>
          <w:rFonts w:hint="eastAsia" w:ascii="宋体" w:hAnsi="宋体" w:eastAsia="宋体" w:cs="宋体"/>
          <w:color w:val="auto"/>
          <w:sz w:val="30"/>
          <w:szCs w:val="30"/>
          <w:highlight w:val="none"/>
          <w:lang w:val="en-US" w:eastAsia="zh-CN"/>
        </w:rPr>
        <w:t>1</w:t>
      </w:r>
      <w:r>
        <w:rPr>
          <w:rFonts w:hint="eastAsia" w:ascii="宋体" w:hAnsi="宋体" w:eastAsia="宋体" w:cs="宋体"/>
          <w:color w:val="auto"/>
          <w:sz w:val="30"/>
          <w:szCs w:val="30"/>
          <w:highlight w:val="none"/>
        </w:rPr>
        <w:t>日至202</w:t>
      </w:r>
      <w:r>
        <w:rPr>
          <w:rFonts w:hint="eastAsia" w:ascii="宋体" w:hAnsi="宋体" w:eastAsia="宋体" w:cs="宋体"/>
          <w:color w:val="auto"/>
          <w:sz w:val="30"/>
          <w:szCs w:val="30"/>
          <w:highlight w:val="none"/>
          <w:lang w:val="en-US" w:eastAsia="zh-CN"/>
        </w:rPr>
        <w:t>8</w:t>
      </w:r>
      <w:r>
        <w:rPr>
          <w:rFonts w:hint="eastAsia" w:ascii="宋体" w:hAnsi="宋体" w:eastAsia="宋体" w:cs="宋体"/>
          <w:color w:val="auto"/>
          <w:sz w:val="30"/>
          <w:szCs w:val="30"/>
          <w:highlight w:val="none"/>
        </w:rPr>
        <w:t>年</w:t>
      </w:r>
      <w:r>
        <w:rPr>
          <w:rFonts w:hint="eastAsia" w:ascii="宋体" w:hAnsi="宋体" w:eastAsia="宋体" w:cs="宋体"/>
          <w:color w:val="auto"/>
          <w:sz w:val="30"/>
          <w:szCs w:val="30"/>
          <w:highlight w:val="none"/>
          <w:lang w:val="en-US" w:eastAsia="zh-CN"/>
        </w:rPr>
        <w:t>12</w:t>
      </w:r>
      <w:r>
        <w:rPr>
          <w:rFonts w:hint="eastAsia" w:ascii="宋体" w:hAnsi="宋体" w:eastAsia="宋体" w:cs="宋体"/>
          <w:color w:val="auto"/>
          <w:sz w:val="30"/>
          <w:szCs w:val="30"/>
          <w:highlight w:val="none"/>
        </w:rPr>
        <w:t>月</w:t>
      </w:r>
      <w:r>
        <w:rPr>
          <w:rFonts w:hint="eastAsia" w:ascii="宋体" w:hAnsi="宋体" w:eastAsia="宋体" w:cs="宋体"/>
          <w:color w:val="auto"/>
          <w:sz w:val="30"/>
          <w:szCs w:val="30"/>
          <w:highlight w:val="none"/>
          <w:lang w:val="en-US" w:eastAsia="zh-CN"/>
        </w:rPr>
        <w:t>31</w:t>
      </w:r>
      <w:r>
        <w:rPr>
          <w:rFonts w:hint="eastAsia" w:ascii="宋体" w:hAnsi="宋体" w:eastAsia="宋体" w:cs="宋体"/>
          <w:color w:val="auto"/>
          <w:sz w:val="30"/>
          <w:szCs w:val="30"/>
          <w:highlight w:val="none"/>
        </w:rPr>
        <w:t>日</w:t>
      </w:r>
      <w:r>
        <w:rPr>
          <w:rFonts w:hint="eastAsia" w:ascii="宋体" w:hAnsi="宋体" w:eastAsia="宋体" w:cs="宋体"/>
          <w:color w:val="auto"/>
          <w:sz w:val="30"/>
          <w:szCs w:val="30"/>
          <w:highlight w:val="none"/>
          <w:lang w:val="en-US" w:eastAsia="zh-CN"/>
        </w:rPr>
        <w:t>止</w:t>
      </w:r>
      <w:r>
        <w:rPr>
          <w:rFonts w:hint="eastAsia" w:ascii="宋体" w:hAnsi="宋体" w:eastAsia="宋体" w:cs="宋体"/>
          <w:color w:val="auto"/>
          <w:sz w:val="30"/>
          <w:szCs w:val="30"/>
          <w:highlight w:val="none"/>
          <w:lang w:eastAsia="zh-CN"/>
        </w:rPr>
        <w:t>。</w:t>
      </w:r>
    </w:p>
    <w:p w14:paraId="566FB87C">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四</w:t>
      </w:r>
      <w:r>
        <w:rPr>
          <w:rFonts w:hint="eastAsia" w:ascii="宋体" w:hAnsi="宋体" w:eastAsia="宋体" w:cs="宋体"/>
          <w:b/>
          <w:bCs/>
          <w:color w:val="auto"/>
          <w:sz w:val="30"/>
          <w:szCs w:val="30"/>
          <w:highlight w:val="none"/>
        </w:rPr>
        <w:t>条 服务标准</w:t>
      </w:r>
    </w:p>
    <w:p w14:paraId="0EA27E95">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bCs/>
          <w:color w:val="auto"/>
          <w:sz w:val="30"/>
          <w:szCs w:val="30"/>
          <w:highlight w:val="none"/>
          <w:lang w:eastAsia="zh-CN"/>
        </w:rPr>
      </w:pPr>
      <w:r>
        <w:rPr>
          <w:rFonts w:hint="eastAsia" w:ascii="宋体" w:hAnsi="宋体" w:eastAsia="宋体" w:cs="宋体"/>
          <w:color w:val="auto"/>
          <w:sz w:val="30"/>
          <w:szCs w:val="30"/>
          <w:highlight w:val="none"/>
        </w:rPr>
        <w:t>本项目作业规程及标准、考评标准详见附件</w:t>
      </w:r>
      <w:r>
        <w:rPr>
          <w:rFonts w:hint="eastAsia" w:ascii="宋体" w:hAnsi="宋体" w:eastAsia="宋体" w:cs="宋体"/>
          <w:color w:val="auto"/>
          <w:sz w:val="30"/>
          <w:szCs w:val="30"/>
          <w:highlight w:val="none"/>
          <w:lang w:eastAsia="zh-CN"/>
        </w:rPr>
        <w:t>：</w:t>
      </w:r>
    </w:p>
    <w:p w14:paraId="3BBF4C87">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b w:val="0"/>
          <w:bCs/>
          <w:color w:val="auto"/>
          <w:sz w:val="30"/>
          <w:szCs w:val="30"/>
          <w:highlight w:val="none"/>
        </w:rPr>
      </w:pPr>
      <w:r>
        <w:rPr>
          <w:rFonts w:hint="eastAsia" w:ascii="宋体" w:hAnsi="宋体" w:eastAsia="宋体" w:cs="宋体"/>
          <w:b w:val="0"/>
          <w:bCs/>
          <w:color w:val="auto"/>
          <w:sz w:val="30"/>
          <w:szCs w:val="30"/>
          <w:highlight w:val="none"/>
        </w:rPr>
        <w:t>附件</w:t>
      </w:r>
      <w:r>
        <w:rPr>
          <w:rFonts w:hint="eastAsia" w:ascii="宋体" w:hAnsi="宋体" w:eastAsia="宋体" w:cs="宋体"/>
          <w:b w:val="0"/>
          <w:bCs/>
          <w:color w:val="auto"/>
          <w:sz w:val="30"/>
          <w:szCs w:val="30"/>
          <w:highlight w:val="none"/>
          <w:lang w:val="en-US" w:eastAsia="zh-CN"/>
        </w:rPr>
        <w:t>1</w:t>
      </w:r>
      <w:r>
        <w:rPr>
          <w:rFonts w:hint="eastAsia" w:ascii="宋体" w:hAnsi="宋体" w:eastAsia="宋体" w:cs="宋体"/>
          <w:b w:val="0"/>
          <w:bCs/>
          <w:color w:val="auto"/>
          <w:sz w:val="30"/>
          <w:szCs w:val="30"/>
          <w:highlight w:val="none"/>
        </w:rPr>
        <w:t>：</w:t>
      </w:r>
      <w:r>
        <w:rPr>
          <w:rFonts w:hint="eastAsia" w:ascii="宋体" w:hAnsi="宋体" w:eastAsia="宋体" w:cs="宋体"/>
          <w:b w:val="0"/>
          <w:bCs/>
          <w:color w:val="auto"/>
          <w:sz w:val="30"/>
          <w:szCs w:val="30"/>
          <w:highlight w:val="none"/>
          <w:lang w:val="en-US" w:eastAsia="zh-CN"/>
        </w:rPr>
        <w:t>水电运行保障</w:t>
      </w:r>
      <w:r>
        <w:rPr>
          <w:rFonts w:hint="eastAsia" w:ascii="宋体" w:hAnsi="宋体" w:eastAsia="宋体" w:cs="宋体"/>
          <w:b w:val="0"/>
          <w:bCs/>
          <w:color w:val="auto"/>
          <w:sz w:val="30"/>
          <w:szCs w:val="30"/>
          <w:highlight w:val="none"/>
        </w:rPr>
        <w:t>作业规程及标准</w:t>
      </w:r>
    </w:p>
    <w:p w14:paraId="4886E4FE">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b w:val="0"/>
          <w:bCs/>
          <w:color w:val="auto"/>
          <w:sz w:val="30"/>
          <w:szCs w:val="30"/>
          <w:highlight w:val="none"/>
        </w:rPr>
      </w:pPr>
      <w:r>
        <w:rPr>
          <w:rFonts w:hint="eastAsia" w:ascii="宋体" w:hAnsi="宋体" w:eastAsia="宋体" w:cs="宋体"/>
          <w:b w:val="0"/>
          <w:bCs/>
          <w:color w:val="auto"/>
          <w:sz w:val="30"/>
          <w:szCs w:val="30"/>
          <w:highlight w:val="none"/>
        </w:rPr>
        <w:t>附件</w:t>
      </w:r>
      <w:r>
        <w:rPr>
          <w:rFonts w:hint="eastAsia" w:ascii="宋体" w:hAnsi="宋体" w:eastAsia="宋体" w:cs="宋体"/>
          <w:b w:val="0"/>
          <w:bCs/>
          <w:color w:val="auto"/>
          <w:sz w:val="30"/>
          <w:szCs w:val="30"/>
          <w:highlight w:val="none"/>
          <w:lang w:val="en-US" w:eastAsia="zh-CN"/>
        </w:rPr>
        <w:t>2</w:t>
      </w:r>
      <w:r>
        <w:rPr>
          <w:rFonts w:hint="eastAsia" w:ascii="宋体" w:hAnsi="宋体" w:eastAsia="宋体" w:cs="宋体"/>
          <w:b w:val="0"/>
          <w:bCs/>
          <w:color w:val="auto"/>
          <w:sz w:val="30"/>
          <w:szCs w:val="30"/>
          <w:highlight w:val="none"/>
        </w:rPr>
        <w:t>：南昌应用技术师范学院</w:t>
      </w:r>
      <w:r>
        <w:rPr>
          <w:rFonts w:hint="eastAsia" w:ascii="宋体" w:hAnsi="宋体" w:eastAsia="宋体" w:cs="宋体"/>
          <w:b w:val="0"/>
          <w:bCs/>
          <w:color w:val="auto"/>
          <w:sz w:val="30"/>
          <w:szCs w:val="30"/>
          <w:highlight w:val="none"/>
          <w:lang w:eastAsia="zh-CN"/>
        </w:rPr>
        <w:t>工程维修设备维护维保</w:t>
      </w:r>
      <w:r>
        <w:rPr>
          <w:rFonts w:hint="eastAsia" w:ascii="宋体" w:hAnsi="宋体" w:eastAsia="宋体" w:cs="宋体"/>
          <w:b w:val="0"/>
          <w:bCs/>
          <w:color w:val="auto"/>
          <w:sz w:val="30"/>
          <w:szCs w:val="30"/>
          <w:highlight w:val="none"/>
        </w:rPr>
        <w:t>管理监管考评标准</w:t>
      </w:r>
    </w:p>
    <w:p w14:paraId="36362064">
      <w:pPr>
        <w:kinsoku/>
        <w:wordWrap/>
        <w:overflowPunct/>
        <w:topLinePunct w:val="0"/>
        <w:autoSpaceDE/>
        <w:autoSpaceDN/>
        <w:bidi w:val="0"/>
        <w:adjustRightInd/>
        <w:snapToGrid/>
        <w:spacing w:line="480" w:lineRule="auto"/>
        <w:ind w:firstLine="600" w:firstLineChars="200"/>
        <w:textAlignment w:val="auto"/>
        <w:rPr>
          <w:rFonts w:hint="eastAsia" w:ascii="宋体" w:hAnsi="宋体" w:eastAsia="宋体" w:cs="宋体"/>
          <w:b w:val="0"/>
          <w:bCs/>
          <w:color w:val="auto"/>
          <w:sz w:val="30"/>
          <w:szCs w:val="30"/>
          <w:highlight w:val="none"/>
        </w:rPr>
      </w:pPr>
      <w:r>
        <w:rPr>
          <w:rFonts w:hint="eastAsia" w:ascii="宋体" w:hAnsi="宋体" w:eastAsia="宋体" w:cs="宋体"/>
          <w:b w:val="0"/>
          <w:bCs/>
          <w:color w:val="auto"/>
          <w:sz w:val="30"/>
          <w:szCs w:val="30"/>
          <w:highlight w:val="none"/>
          <w:lang w:val="en-US" w:eastAsia="zh-CN"/>
        </w:rPr>
        <w:t>附件3：</w:t>
      </w:r>
      <w:r>
        <w:rPr>
          <w:rFonts w:hint="eastAsia" w:ascii="宋体" w:hAnsi="宋体" w:eastAsia="宋体" w:cs="宋体"/>
          <w:b w:val="0"/>
          <w:bCs w:val="0"/>
          <w:color w:val="auto"/>
          <w:sz w:val="30"/>
          <w:szCs w:val="30"/>
          <w:highlight w:val="none"/>
        </w:rPr>
        <w:t>服务人员岗位配置</w:t>
      </w:r>
    </w:p>
    <w:p w14:paraId="058E9A6F">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五</w:t>
      </w:r>
      <w:r>
        <w:rPr>
          <w:rFonts w:hint="eastAsia" w:ascii="宋体" w:hAnsi="宋体" w:eastAsia="宋体" w:cs="宋体"/>
          <w:b/>
          <w:bCs/>
          <w:color w:val="auto"/>
          <w:sz w:val="30"/>
          <w:szCs w:val="30"/>
          <w:highlight w:val="none"/>
        </w:rPr>
        <w:t>条 服务费及</w:t>
      </w:r>
      <w:r>
        <w:rPr>
          <w:rFonts w:hint="eastAsia" w:ascii="宋体" w:hAnsi="宋体" w:eastAsia="宋体" w:cs="宋体"/>
          <w:b/>
          <w:bCs/>
          <w:color w:val="auto"/>
          <w:sz w:val="30"/>
          <w:szCs w:val="30"/>
          <w:highlight w:val="none"/>
          <w:lang w:val="en-US" w:eastAsia="zh-CN"/>
        </w:rPr>
        <w:t>人员费用的</w:t>
      </w:r>
      <w:r>
        <w:rPr>
          <w:rFonts w:hint="eastAsia" w:ascii="宋体" w:hAnsi="宋体" w:eastAsia="宋体" w:cs="宋体"/>
          <w:b/>
          <w:bCs/>
          <w:color w:val="auto"/>
          <w:sz w:val="30"/>
          <w:szCs w:val="30"/>
          <w:highlight w:val="none"/>
        </w:rPr>
        <w:t>支付</w:t>
      </w:r>
    </w:p>
    <w:p w14:paraId="10259720">
      <w:pPr>
        <w:widowControl/>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lang w:val="en-US" w:eastAsia="zh-CN"/>
        </w:rPr>
        <w:t>1、赣新校区</w:t>
      </w:r>
      <w:r>
        <w:rPr>
          <w:rFonts w:hint="eastAsia" w:ascii="宋体" w:hAnsi="宋体" w:eastAsia="宋体" w:cs="宋体"/>
          <w:color w:val="auto"/>
          <w:sz w:val="30"/>
          <w:szCs w:val="30"/>
          <w:highlight w:val="none"/>
          <w:lang w:eastAsia="zh-CN"/>
        </w:rPr>
        <w:t>工程维修设备维护维保</w:t>
      </w:r>
      <w:r>
        <w:rPr>
          <w:rFonts w:hint="eastAsia" w:ascii="宋体" w:hAnsi="宋体" w:eastAsia="宋体" w:cs="宋体"/>
          <w:color w:val="auto"/>
          <w:sz w:val="30"/>
          <w:szCs w:val="30"/>
          <w:highlight w:val="none"/>
        </w:rPr>
        <w:t>服务费</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lang w:val="en-US" w:eastAsia="zh-CN"/>
        </w:rPr>
        <w:t>2026年4月1日--2028年12月31日，一、二期建筑面积718280.7万</w:t>
      </w:r>
      <w:r>
        <w:rPr>
          <w:rFonts w:hint="eastAsia" w:ascii="宋体" w:hAnsi="宋体" w:eastAsia="宋体" w:cs="宋体"/>
          <w:color w:val="auto"/>
          <w:sz w:val="30"/>
          <w:szCs w:val="30"/>
          <w:highlight w:val="none"/>
        </w:rPr>
        <w:t>平方米</w:t>
      </w:r>
      <w:r>
        <w:rPr>
          <w:rFonts w:hint="eastAsia" w:ascii="宋体" w:hAnsi="宋体" w:eastAsia="宋体" w:cs="宋体"/>
          <w:color w:val="auto"/>
          <w:sz w:val="30"/>
          <w:szCs w:val="30"/>
          <w:highlight w:val="none"/>
          <w:lang w:eastAsia="zh-CN"/>
        </w:rPr>
        <w:t>，</w:t>
      </w:r>
      <w:r>
        <w:rPr>
          <w:rFonts w:hint="eastAsia" w:ascii="宋体" w:hAnsi="宋体" w:eastAsia="宋体" w:cs="宋体"/>
          <w:color w:val="auto"/>
          <w:sz w:val="30"/>
          <w:szCs w:val="30"/>
          <w:highlight w:val="none"/>
          <w:lang w:val="en-US" w:eastAsia="zh-CN"/>
        </w:rPr>
        <w:t>合计年费用为：</w:t>
      </w:r>
      <w:r>
        <w:rPr>
          <w:rFonts w:hint="eastAsia" w:ascii="宋体" w:hAnsi="宋体" w:eastAsia="宋体" w:cs="宋体"/>
          <w:i w:val="0"/>
          <w:iCs w:val="0"/>
          <w:color w:val="000000"/>
          <w:kern w:val="0"/>
          <w:sz w:val="30"/>
          <w:szCs w:val="30"/>
          <w:highlight w:val="none"/>
          <w:u w:val="single"/>
          <w:lang w:val="en-US" w:eastAsia="zh-CN" w:bidi="ar"/>
        </w:rPr>
        <w:t xml:space="preserve">            </w:t>
      </w:r>
      <w:r>
        <w:rPr>
          <w:rFonts w:hint="eastAsia" w:ascii="宋体" w:hAnsi="宋体" w:eastAsia="宋体" w:cs="宋体"/>
          <w:color w:val="auto"/>
          <w:sz w:val="30"/>
          <w:szCs w:val="30"/>
          <w:highlight w:val="none"/>
          <w:u w:val="single"/>
          <w:lang w:val="en-US" w:eastAsia="zh-CN"/>
        </w:rPr>
        <w:t>元</w:t>
      </w:r>
      <w:r>
        <w:rPr>
          <w:rFonts w:hint="eastAsia" w:ascii="宋体" w:hAnsi="宋体" w:eastAsia="宋体" w:cs="宋体"/>
          <w:color w:val="auto"/>
          <w:sz w:val="30"/>
          <w:szCs w:val="30"/>
          <w:highlight w:val="none"/>
          <w:lang w:val="en-US" w:eastAsia="zh-CN"/>
        </w:rPr>
        <w:t>（含</w:t>
      </w:r>
      <w:r>
        <w:rPr>
          <w:rFonts w:hint="eastAsia" w:ascii="宋体" w:hAnsi="宋体" w:eastAsia="宋体" w:cs="宋体"/>
          <w:color w:val="auto"/>
          <w:sz w:val="30"/>
          <w:szCs w:val="30"/>
          <w:highlight w:val="none"/>
          <w:u w:val="single"/>
          <w:lang w:val="en-US" w:eastAsia="zh-CN"/>
        </w:rPr>
        <w:t xml:space="preserve">  </w:t>
      </w:r>
      <w:r>
        <w:rPr>
          <w:rFonts w:hint="eastAsia" w:ascii="宋体" w:hAnsi="宋体" w:eastAsia="宋体" w:cs="宋体"/>
          <w:color w:val="auto"/>
          <w:sz w:val="30"/>
          <w:szCs w:val="30"/>
          <w:highlight w:val="none"/>
          <w:lang w:val="en-US" w:eastAsia="zh-CN"/>
        </w:rPr>
        <w:t>%增值税），大写：</w:t>
      </w:r>
      <w:r>
        <w:rPr>
          <w:rFonts w:hint="eastAsia" w:ascii="宋体" w:hAnsi="宋体" w:eastAsia="宋体" w:cs="宋体"/>
          <w:color w:val="auto"/>
          <w:sz w:val="30"/>
          <w:szCs w:val="30"/>
          <w:highlight w:val="none"/>
          <w:u w:val="single"/>
          <w:lang w:val="en-US" w:eastAsia="zh-CN"/>
        </w:rPr>
        <w:t xml:space="preserve">              元</w:t>
      </w:r>
      <w:r>
        <w:rPr>
          <w:rFonts w:hint="eastAsia" w:ascii="宋体" w:hAnsi="宋体" w:eastAsia="宋体" w:cs="宋体"/>
          <w:color w:val="auto"/>
          <w:sz w:val="30"/>
          <w:szCs w:val="30"/>
          <w:highlight w:val="none"/>
        </w:rPr>
        <w:t>。甲方另行指派的合同外工作事项，</w:t>
      </w:r>
      <w:r>
        <w:rPr>
          <w:rFonts w:hint="eastAsia" w:ascii="宋体" w:hAnsi="宋体" w:eastAsia="宋体" w:cs="宋体"/>
          <w:color w:val="auto"/>
          <w:sz w:val="30"/>
          <w:szCs w:val="30"/>
          <w:highlight w:val="none"/>
          <w:lang w:val="en-US" w:eastAsia="zh-CN"/>
        </w:rPr>
        <w:t>费用由双方协商确定</w:t>
      </w:r>
      <w:r>
        <w:rPr>
          <w:rFonts w:hint="eastAsia" w:ascii="宋体" w:hAnsi="宋体" w:eastAsia="宋体" w:cs="宋体"/>
          <w:color w:val="auto"/>
          <w:sz w:val="30"/>
          <w:szCs w:val="30"/>
          <w:highlight w:val="none"/>
        </w:rPr>
        <w:t>。</w:t>
      </w:r>
    </w:p>
    <w:p w14:paraId="267920F9">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yellow"/>
          <w:lang w:val="en-US" w:eastAsia="zh-CN"/>
        </w:rPr>
      </w:pPr>
      <w:r>
        <w:rPr>
          <w:rFonts w:hint="eastAsia" w:ascii="宋体" w:hAnsi="宋体" w:eastAsia="宋体" w:cs="宋体"/>
          <w:color w:val="auto"/>
          <w:sz w:val="30"/>
          <w:szCs w:val="30"/>
          <w:highlight w:val="none"/>
          <w:lang w:val="en-US" w:eastAsia="zh-CN"/>
        </w:rPr>
        <w:t>2</w:t>
      </w:r>
      <w:r>
        <w:rPr>
          <w:rFonts w:hint="eastAsia" w:ascii="宋体" w:hAnsi="宋体" w:eastAsia="宋体" w:cs="宋体"/>
          <w:color w:val="auto"/>
          <w:sz w:val="30"/>
          <w:szCs w:val="30"/>
          <w:highlight w:val="none"/>
        </w:rPr>
        <w:t>、</w:t>
      </w:r>
      <w:r>
        <w:rPr>
          <w:rFonts w:hint="eastAsia" w:ascii="宋体" w:hAnsi="宋体" w:eastAsia="宋体" w:cs="宋体"/>
          <w:color w:val="auto"/>
          <w:sz w:val="30"/>
          <w:szCs w:val="30"/>
          <w:highlight w:val="yellow"/>
        </w:rPr>
        <w:t>服务费用</w:t>
      </w:r>
      <w:r>
        <w:rPr>
          <w:rFonts w:hint="eastAsia" w:ascii="宋体" w:hAnsi="宋体" w:eastAsia="宋体" w:cs="宋体"/>
          <w:color w:val="auto"/>
          <w:sz w:val="30"/>
          <w:szCs w:val="30"/>
          <w:highlight w:val="yellow"/>
          <w:lang w:val="en-US" w:eastAsia="zh-CN"/>
        </w:rPr>
        <w:t>根据甲乙双方每月核算金额，</w:t>
      </w:r>
      <w:r>
        <w:rPr>
          <w:rFonts w:hint="eastAsia" w:ascii="宋体" w:hAnsi="宋体" w:eastAsia="宋体" w:cs="宋体"/>
          <w:color w:val="auto"/>
          <w:sz w:val="30"/>
          <w:szCs w:val="30"/>
          <w:highlight w:val="yellow"/>
        </w:rPr>
        <w:t>按</w:t>
      </w:r>
      <w:r>
        <w:rPr>
          <w:rFonts w:hint="eastAsia" w:ascii="宋体" w:hAnsi="宋体" w:eastAsia="宋体" w:cs="宋体"/>
          <w:color w:val="auto"/>
          <w:sz w:val="30"/>
          <w:szCs w:val="30"/>
          <w:highlight w:val="yellow"/>
          <w:lang w:val="en-US" w:eastAsia="zh-CN"/>
        </w:rPr>
        <w:t>月度据实结算</w:t>
      </w:r>
      <w:r>
        <w:rPr>
          <w:rFonts w:hint="eastAsia" w:ascii="宋体" w:hAnsi="宋体" w:eastAsia="宋体" w:cs="宋体"/>
          <w:color w:val="auto"/>
          <w:sz w:val="30"/>
          <w:szCs w:val="30"/>
          <w:highlight w:val="yellow"/>
        </w:rPr>
        <w:t>。乙方每月5日前向甲方提供相应额度的增值税发票，甲方</w:t>
      </w:r>
      <w:r>
        <w:rPr>
          <w:rFonts w:hint="eastAsia" w:ascii="宋体" w:hAnsi="宋体" w:eastAsia="宋体" w:cs="宋体"/>
          <w:color w:val="auto"/>
          <w:sz w:val="30"/>
          <w:szCs w:val="30"/>
          <w:highlight w:val="yellow"/>
          <w:lang w:val="en-US" w:eastAsia="zh-CN"/>
        </w:rPr>
        <w:t>在每月10号前向乙方支付月费用。</w:t>
      </w:r>
    </w:p>
    <w:p w14:paraId="57267793">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3</w:t>
      </w:r>
      <w:r>
        <w:rPr>
          <w:rFonts w:hint="eastAsia" w:ascii="宋体" w:hAnsi="宋体" w:eastAsia="宋体" w:cs="宋体"/>
          <w:color w:val="auto"/>
          <w:sz w:val="30"/>
          <w:szCs w:val="30"/>
          <w:highlight w:val="none"/>
        </w:rPr>
        <w:t>、乙方人员的报酬、福利、保险及劳保用品、劳动器具等均由乙方自行负责。乙方聘请的人员与乙方建立合法用工关系，与甲方无关。</w:t>
      </w:r>
    </w:p>
    <w:p w14:paraId="08499BA7">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4</w:t>
      </w:r>
      <w:r>
        <w:rPr>
          <w:rFonts w:hint="eastAsia" w:ascii="宋体" w:hAnsi="宋体" w:eastAsia="宋体" w:cs="宋体"/>
          <w:color w:val="auto"/>
          <w:sz w:val="30"/>
          <w:szCs w:val="30"/>
          <w:highlight w:val="none"/>
        </w:rPr>
        <w:t>、此合同中的费用含税金，按月支付时乙方必须确保发票按时到位。</w:t>
      </w:r>
    </w:p>
    <w:p w14:paraId="0A5F0273">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因乙方延迟提供发票，甲方支付服务费时间相应推迟，如乙方未能提供发票，甲方有权拒绝支付服务费</w:t>
      </w:r>
      <w:r>
        <w:rPr>
          <w:rFonts w:hint="eastAsia" w:ascii="宋体" w:hAnsi="宋体" w:eastAsia="宋体" w:cs="宋体"/>
          <w:color w:val="auto"/>
          <w:sz w:val="30"/>
          <w:szCs w:val="30"/>
          <w:highlight w:val="none"/>
          <w:lang w:eastAsia="zh-CN"/>
        </w:rPr>
        <w:t>。</w:t>
      </w:r>
    </w:p>
    <w:p w14:paraId="43B2A989">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六</w:t>
      </w:r>
      <w:r>
        <w:rPr>
          <w:rFonts w:hint="eastAsia" w:ascii="宋体" w:hAnsi="宋体" w:eastAsia="宋体" w:cs="宋体"/>
          <w:b/>
          <w:bCs/>
          <w:color w:val="auto"/>
          <w:sz w:val="30"/>
          <w:szCs w:val="30"/>
          <w:highlight w:val="none"/>
        </w:rPr>
        <w:t>条 甲方的权利和义务</w:t>
      </w:r>
    </w:p>
    <w:p w14:paraId="7B6FDB18">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甲方有权对照合同及合同附件对乙方的管理和服务进行监督检查，有权要求乙方对违反服务承诺的事项进行限期整改。有权要求乙方采纳甲方提出的合理要求，有权对乙方不称职的人员提出及时撤换的建议。合同期内，如因乙方管理不善造成甲方重大经济损失或导致甲方出现管理失误，甲方有权终止合同并追索赔偿。</w:t>
      </w:r>
    </w:p>
    <w:p w14:paraId="43665718">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2、甲方每月对双方共同制定的服务质量考核标准进行一次书面考核评定，考核评分</w:t>
      </w:r>
      <w:r>
        <w:rPr>
          <w:rFonts w:hint="eastAsia" w:ascii="宋体" w:hAnsi="宋体" w:eastAsia="宋体" w:cs="宋体"/>
          <w:color w:val="auto"/>
          <w:sz w:val="30"/>
          <w:szCs w:val="30"/>
          <w:highlight w:val="none"/>
          <w:lang w:val="en-US" w:eastAsia="zh-CN"/>
        </w:rPr>
        <w:t>85</w:t>
      </w:r>
      <w:r>
        <w:rPr>
          <w:rFonts w:hint="eastAsia" w:ascii="宋体" w:hAnsi="宋体" w:eastAsia="宋体" w:cs="宋体"/>
          <w:color w:val="auto"/>
          <w:sz w:val="30"/>
          <w:szCs w:val="30"/>
          <w:highlight w:val="none"/>
        </w:rPr>
        <w:t>分以上（含</w:t>
      </w:r>
      <w:r>
        <w:rPr>
          <w:rFonts w:hint="eastAsia" w:ascii="宋体" w:hAnsi="宋体" w:eastAsia="宋体" w:cs="宋体"/>
          <w:color w:val="auto"/>
          <w:sz w:val="30"/>
          <w:szCs w:val="30"/>
          <w:highlight w:val="none"/>
          <w:lang w:val="en-US" w:eastAsia="zh-CN"/>
        </w:rPr>
        <w:t>85</w:t>
      </w:r>
      <w:r>
        <w:rPr>
          <w:rFonts w:hint="eastAsia" w:ascii="宋体" w:hAnsi="宋体" w:eastAsia="宋体" w:cs="宋体"/>
          <w:color w:val="auto"/>
          <w:sz w:val="30"/>
          <w:szCs w:val="30"/>
          <w:highlight w:val="none"/>
        </w:rPr>
        <w:t>分）按月服务费的100%支付服务费；考核评分</w:t>
      </w:r>
      <w:r>
        <w:rPr>
          <w:rFonts w:hint="eastAsia" w:ascii="宋体" w:hAnsi="宋体" w:eastAsia="宋体" w:cs="宋体"/>
          <w:color w:val="auto"/>
          <w:sz w:val="30"/>
          <w:szCs w:val="30"/>
          <w:highlight w:val="none"/>
          <w:lang w:val="en-US" w:eastAsia="zh-CN"/>
        </w:rPr>
        <w:t>75</w:t>
      </w:r>
      <w:r>
        <w:rPr>
          <w:rFonts w:hint="eastAsia" w:ascii="宋体" w:hAnsi="宋体" w:eastAsia="宋体" w:cs="宋体"/>
          <w:color w:val="auto"/>
          <w:sz w:val="30"/>
          <w:szCs w:val="30"/>
          <w:highlight w:val="none"/>
        </w:rPr>
        <w:t>分以上（含</w:t>
      </w:r>
      <w:r>
        <w:rPr>
          <w:rFonts w:hint="eastAsia" w:ascii="宋体" w:hAnsi="宋体" w:eastAsia="宋体" w:cs="宋体"/>
          <w:color w:val="auto"/>
          <w:sz w:val="30"/>
          <w:szCs w:val="30"/>
          <w:highlight w:val="none"/>
          <w:lang w:val="en-US" w:eastAsia="zh-CN"/>
        </w:rPr>
        <w:t>75</w:t>
      </w:r>
      <w:r>
        <w:rPr>
          <w:rFonts w:hint="eastAsia" w:ascii="宋体" w:hAnsi="宋体" w:eastAsia="宋体" w:cs="宋体"/>
          <w:color w:val="auto"/>
          <w:sz w:val="30"/>
          <w:szCs w:val="30"/>
          <w:highlight w:val="none"/>
        </w:rPr>
        <w:t>分）按月服务费的90%支付服务费；考核评分70分以上（含70分）按月服务费的80%支付服务费；考核评分60分以上（含60分）按月服务费的70%支付服务费；考核评60分以下的按月服务费的50%支付服务费；连续三个月考核80分以下，甲方有权解除服务合同。对乙方的考核打分由教务处、学工处、后勤</w:t>
      </w:r>
      <w:r>
        <w:rPr>
          <w:rFonts w:hint="eastAsia" w:ascii="宋体" w:hAnsi="宋体" w:eastAsia="宋体" w:cs="宋体"/>
          <w:color w:val="auto"/>
          <w:sz w:val="30"/>
          <w:szCs w:val="30"/>
          <w:highlight w:val="none"/>
          <w:lang w:val="en-US" w:eastAsia="zh-CN"/>
        </w:rPr>
        <w:t>基建处</w:t>
      </w:r>
      <w:r>
        <w:rPr>
          <w:rFonts w:hint="eastAsia" w:ascii="宋体" w:hAnsi="宋体" w:eastAsia="宋体" w:cs="宋体"/>
          <w:color w:val="auto"/>
          <w:sz w:val="30"/>
          <w:szCs w:val="30"/>
          <w:highlight w:val="none"/>
        </w:rPr>
        <w:t>和保卫处</w:t>
      </w:r>
      <w:r>
        <w:rPr>
          <w:rFonts w:hint="eastAsia" w:ascii="宋体" w:hAnsi="宋体" w:eastAsia="宋体" w:cs="宋体"/>
          <w:color w:val="auto"/>
          <w:sz w:val="30"/>
          <w:szCs w:val="30"/>
          <w:highlight w:val="none"/>
          <w:lang w:val="en-US" w:eastAsia="zh-CN"/>
        </w:rPr>
        <w:t>等</w:t>
      </w:r>
      <w:r>
        <w:rPr>
          <w:rFonts w:hint="eastAsia" w:ascii="宋体" w:hAnsi="宋体" w:eastAsia="宋体" w:cs="宋体"/>
          <w:color w:val="auto"/>
          <w:sz w:val="30"/>
          <w:szCs w:val="30"/>
          <w:highlight w:val="none"/>
        </w:rPr>
        <w:t>相关部门进行检查监督，取其平均分纳入考核。年底进行一次全面考核评定，评分优秀的可作为次年续聘的优先条件。</w:t>
      </w:r>
    </w:p>
    <w:p w14:paraId="1C3B3E17">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3、</w:t>
      </w:r>
      <w:r>
        <w:rPr>
          <w:rFonts w:hint="eastAsia" w:ascii="宋体" w:hAnsi="宋体" w:eastAsia="宋体" w:cs="宋体"/>
          <w:color w:val="auto"/>
          <w:sz w:val="30"/>
          <w:szCs w:val="30"/>
          <w:highlight w:val="none"/>
          <w:lang w:val="en-US" w:eastAsia="zh-CN"/>
        </w:rPr>
        <w:t>因乙方原因造成的安全风险</w:t>
      </w:r>
      <w:r>
        <w:rPr>
          <w:rFonts w:hint="eastAsia" w:ascii="宋体" w:hAnsi="宋体" w:eastAsia="宋体" w:cs="宋体"/>
          <w:color w:val="auto"/>
          <w:sz w:val="30"/>
          <w:szCs w:val="30"/>
          <w:highlight w:val="none"/>
        </w:rPr>
        <w:t>，甲方发现一次在当月考核中扣除5分；对于因乙方人员操作不当原因造成的</w:t>
      </w:r>
      <w:r>
        <w:rPr>
          <w:rFonts w:hint="eastAsia" w:ascii="宋体" w:hAnsi="宋体" w:eastAsia="宋体" w:cs="宋体"/>
          <w:color w:val="auto"/>
          <w:sz w:val="30"/>
          <w:szCs w:val="30"/>
          <w:highlight w:val="none"/>
          <w:lang w:val="en-US" w:eastAsia="zh-CN"/>
        </w:rPr>
        <w:t>设备损坏</w:t>
      </w:r>
      <w:r>
        <w:rPr>
          <w:rFonts w:hint="eastAsia" w:ascii="宋体" w:hAnsi="宋体" w:eastAsia="宋体" w:cs="宋体"/>
          <w:color w:val="auto"/>
          <w:sz w:val="30"/>
          <w:szCs w:val="30"/>
          <w:highlight w:val="none"/>
        </w:rPr>
        <w:t>，发现一次在当月考核中扣除2分，造成学校或第三方损失的均由乙方承担全部责任。</w:t>
      </w:r>
    </w:p>
    <w:p w14:paraId="64BFB675">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4、若乙方在校园范围内发生一次聚众罢工，扰乱学校正常工作的事件，甲方有权立即终止合同，乙方承担一切责任。</w:t>
      </w:r>
    </w:p>
    <w:p w14:paraId="782DC153">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5、针对甲方对乙方多次提出的合理整改意见，经甲方书面通知后，乙方无正当理由拒不整改或者无法整改到位的，甲方有权外请人员进行整改，由此产生的相关费用从乙方月度服务费用中扣除，情节严重的情况甲方有权终止合同。</w:t>
      </w:r>
    </w:p>
    <w:p w14:paraId="05B324A9">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6、非因甲方原因导致的乙方服务人员在服务过程中（包括但不限于上下班往返途中以及向甲方提供服务的过程中）发生的任何安全事故，甲方对此不承担责任，但应协助乙方向责任方或侵权方追责。</w:t>
      </w:r>
    </w:p>
    <w:p w14:paraId="07701B7A">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7、甲方按时支付乙方</w:t>
      </w:r>
      <w:r>
        <w:rPr>
          <w:rFonts w:hint="eastAsia" w:ascii="宋体" w:hAnsi="宋体" w:eastAsia="宋体" w:cs="宋体"/>
          <w:color w:val="auto"/>
          <w:sz w:val="30"/>
          <w:szCs w:val="30"/>
          <w:highlight w:val="none"/>
          <w:lang w:eastAsia="zh-CN"/>
        </w:rPr>
        <w:t>工程维修设备维护维保</w:t>
      </w:r>
      <w:r>
        <w:rPr>
          <w:rFonts w:hint="eastAsia" w:ascii="宋体" w:hAnsi="宋体" w:eastAsia="宋体" w:cs="宋体"/>
          <w:color w:val="auto"/>
          <w:sz w:val="30"/>
          <w:szCs w:val="30"/>
          <w:highlight w:val="none"/>
        </w:rPr>
        <w:t>服务费用。</w:t>
      </w:r>
    </w:p>
    <w:p w14:paraId="7199D6D7">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8、甲方根据实际需要酌情为乙方提供</w:t>
      </w:r>
      <w:r>
        <w:rPr>
          <w:rFonts w:hint="eastAsia" w:ascii="宋体" w:hAnsi="宋体" w:eastAsia="宋体" w:cs="宋体"/>
          <w:color w:val="auto"/>
          <w:sz w:val="30"/>
          <w:szCs w:val="30"/>
          <w:highlight w:val="none"/>
          <w:lang w:val="en-US" w:eastAsia="zh-CN"/>
        </w:rPr>
        <w:t>工程维修设备维护维保用</w:t>
      </w:r>
      <w:r>
        <w:rPr>
          <w:rFonts w:hint="eastAsia" w:ascii="宋体" w:hAnsi="宋体" w:eastAsia="宋体" w:cs="宋体"/>
          <w:color w:val="auto"/>
          <w:sz w:val="30"/>
          <w:szCs w:val="30"/>
          <w:highlight w:val="none"/>
        </w:rPr>
        <w:t>房（合同期内若甲方需要收回，乙方应无条件归还）。</w:t>
      </w:r>
    </w:p>
    <w:p w14:paraId="6A31775D">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9、合同期内甲方无偿为乙方提供</w:t>
      </w:r>
      <w:r>
        <w:rPr>
          <w:rFonts w:hint="eastAsia" w:ascii="宋体" w:hAnsi="宋体" w:eastAsia="宋体" w:cs="宋体"/>
          <w:color w:val="auto"/>
          <w:sz w:val="30"/>
          <w:szCs w:val="30"/>
          <w:highlight w:val="none"/>
          <w:lang w:val="en-US" w:eastAsia="zh-CN"/>
        </w:rPr>
        <w:t>办公及作业</w:t>
      </w:r>
      <w:r>
        <w:rPr>
          <w:rFonts w:hint="eastAsia" w:ascii="宋体" w:hAnsi="宋体" w:eastAsia="宋体" w:cs="宋体"/>
          <w:color w:val="auto"/>
          <w:sz w:val="30"/>
          <w:szCs w:val="30"/>
          <w:highlight w:val="none"/>
        </w:rPr>
        <w:t>用水、用电，乙方严格执行甲方的用水用电管理规定，若发现浪费水电或违规用水用电等现象，甲方有权在当月考核中扣除1分／次。</w:t>
      </w:r>
    </w:p>
    <w:p w14:paraId="24D5C951">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10、法律、行政法规规定的由甲方承担的其他责任。</w:t>
      </w:r>
    </w:p>
    <w:p w14:paraId="0BED5041">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七</w:t>
      </w:r>
      <w:r>
        <w:rPr>
          <w:rFonts w:hint="eastAsia" w:ascii="宋体" w:hAnsi="宋体" w:eastAsia="宋体" w:cs="宋体"/>
          <w:b/>
          <w:bCs/>
          <w:color w:val="auto"/>
          <w:sz w:val="30"/>
          <w:szCs w:val="30"/>
          <w:highlight w:val="none"/>
        </w:rPr>
        <w:t>条 乙方的权利和义务</w:t>
      </w:r>
    </w:p>
    <w:p w14:paraId="14C7C5A8">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1、按照有关法律、法规政策制定各项管理办法、规章制度和本合同要求的</w:t>
      </w:r>
      <w:r>
        <w:rPr>
          <w:rFonts w:hint="eastAsia" w:ascii="宋体" w:hAnsi="宋体" w:eastAsia="宋体" w:cs="宋体"/>
          <w:color w:val="auto"/>
          <w:sz w:val="30"/>
          <w:szCs w:val="30"/>
          <w:highlight w:val="none"/>
          <w:lang w:val="en-US" w:eastAsia="zh-CN"/>
        </w:rPr>
        <w:t>工程维修设备维护维保</w:t>
      </w:r>
      <w:r>
        <w:rPr>
          <w:rFonts w:hint="eastAsia" w:ascii="宋体" w:hAnsi="宋体" w:eastAsia="宋体" w:cs="宋体"/>
          <w:color w:val="auto"/>
          <w:sz w:val="30"/>
          <w:szCs w:val="30"/>
          <w:highlight w:val="none"/>
        </w:rPr>
        <w:t>项目服务标准、人员配置安排表及考核措施、人员培训计划。自主开展各项管理服务活动，但不得损害甲方的合法权益，获取不当利益。</w:t>
      </w:r>
    </w:p>
    <w:p w14:paraId="571527FC">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2、乙方必须选派素质高、服务态度好、经培训合格的人员进驻项目并保持相对的稳定性。员工服饰统一、佩戴工牌、文明用语、规范服务。</w:t>
      </w:r>
    </w:p>
    <w:p w14:paraId="70D362AC">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3、乙方为派遣到甲方的工作人员办理合法的用工和工伤、养老保险等手续，将相关资料报甲方备案（甲方学生勤工俭学的除外）。并按时向乙方人员足额发放工资、奖金、福利，合理解决与乙方人员的劳动纠纷，因乙方与其服务人员发生工资、奖金、福利等纠纷影响到甲方正常工作及本合同正常履行时，每发生一人次在当月考核中扣除5分，给甲方造成损失的，还应当承担相应的赔偿责任。</w:t>
      </w:r>
    </w:p>
    <w:p w14:paraId="35596A05">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4、因乙方人员工作不慎造成甲方相应资产损坏或灭失的，乙方应在</w:t>
      </w:r>
      <w:r>
        <w:rPr>
          <w:rFonts w:hint="eastAsia" w:ascii="宋体" w:hAnsi="宋体" w:eastAsia="宋体" w:cs="宋体"/>
          <w:color w:val="auto"/>
          <w:sz w:val="30"/>
          <w:szCs w:val="30"/>
          <w:highlight w:val="none"/>
          <w:lang w:val="en-US" w:eastAsia="zh-CN"/>
        </w:rPr>
        <w:t>合理期限</w:t>
      </w:r>
      <w:r>
        <w:rPr>
          <w:rFonts w:hint="eastAsia" w:ascii="宋体" w:hAnsi="宋体" w:eastAsia="宋体" w:cs="宋体"/>
          <w:color w:val="auto"/>
          <w:sz w:val="30"/>
          <w:szCs w:val="30"/>
          <w:highlight w:val="none"/>
        </w:rPr>
        <w:t>内负责维修或赔偿，超过期限，甲方可委托第三方维修，全部费用从服务费中扣除，乙方无条件认可。</w:t>
      </w:r>
    </w:p>
    <w:p w14:paraId="615D6A8A">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5、乙方应当在工作中采取必需的一切安全防护措施以保障乙方人员的作业安全。乙方人员在工作中发生事故或做出违法行为，其后果由乙方承担，甲方不承担任何责任和费用。乙方在履行合同过程中，给甲方或第三人造成人身或财产损失的，由乙方承担全部的赔偿责任。</w:t>
      </w:r>
    </w:p>
    <w:p w14:paraId="295EDECA">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6、如发生突发事件（包括但不限于漏水、管道堵塞），乙方应及时向甲方报修，并配合维修人员清洁场地，以确保</w:t>
      </w:r>
      <w:r>
        <w:rPr>
          <w:rFonts w:hint="eastAsia" w:ascii="宋体" w:hAnsi="宋体" w:eastAsia="宋体" w:cs="宋体"/>
          <w:color w:val="auto"/>
          <w:sz w:val="30"/>
          <w:szCs w:val="30"/>
          <w:highlight w:val="none"/>
          <w:lang w:eastAsia="zh-CN"/>
        </w:rPr>
        <w:t>工程维修设备维护维保</w:t>
      </w:r>
      <w:r>
        <w:rPr>
          <w:rFonts w:hint="eastAsia" w:ascii="宋体" w:hAnsi="宋体" w:eastAsia="宋体" w:cs="宋体"/>
          <w:color w:val="auto"/>
          <w:sz w:val="30"/>
          <w:szCs w:val="30"/>
          <w:highlight w:val="none"/>
        </w:rPr>
        <w:t>能正常使用。如因甲方怠于处理对其造成损失的，乙方不承担赔偿责任。</w:t>
      </w:r>
    </w:p>
    <w:p w14:paraId="537A1590">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lang w:val="en-US" w:eastAsia="zh-CN"/>
        </w:rPr>
      </w:pPr>
      <w:r>
        <w:rPr>
          <w:rFonts w:hint="eastAsia" w:ascii="宋体" w:hAnsi="宋体" w:eastAsia="宋体" w:cs="宋体"/>
          <w:color w:val="auto"/>
          <w:sz w:val="30"/>
          <w:szCs w:val="30"/>
          <w:highlight w:val="none"/>
        </w:rPr>
        <w:t>7、乙方</w:t>
      </w:r>
      <w:r>
        <w:rPr>
          <w:rFonts w:hint="eastAsia" w:ascii="宋体" w:hAnsi="宋体" w:eastAsia="宋体" w:cs="宋体"/>
          <w:color w:val="auto"/>
          <w:sz w:val="30"/>
          <w:szCs w:val="30"/>
          <w:highlight w:val="none"/>
          <w:lang w:eastAsia="zh-CN"/>
        </w:rPr>
        <w:t>每月接受甲方不同部门联合监督并进行评分考核，</w:t>
      </w:r>
      <w:r>
        <w:rPr>
          <w:rFonts w:hint="eastAsia" w:ascii="宋体" w:hAnsi="宋体" w:eastAsia="宋体" w:cs="宋体"/>
          <w:color w:val="auto"/>
          <w:sz w:val="30"/>
          <w:szCs w:val="30"/>
          <w:highlight w:val="none"/>
        </w:rPr>
        <w:t>服从甲方的管理。乙方因自身管理问题给甲方造成不良影响的，甲方有权立即终止合同，一切责任由乙方承担。</w:t>
      </w:r>
    </w:p>
    <w:p w14:paraId="6B9622A2">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8、乙方每月无偿完成一次甲方交给的临时性任务。</w:t>
      </w:r>
    </w:p>
    <w:p w14:paraId="0E84A5CD">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9、本合同签订后乙方如需中途终止合同，必须提前三十天书面告知甲方，并从合同终止日起十天内向甲方移交原委托管理的全部资料及其管理用房。</w:t>
      </w:r>
    </w:p>
    <w:p w14:paraId="0D0741EB">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10、乙方可根据甲方需求为甲方学生安排勤工助学岗位。</w:t>
      </w:r>
    </w:p>
    <w:p w14:paraId="491D44F6">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11、法律、行政法规规定的由乙方承担的其他责任。</w:t>
      </w:r>
    </w:p>
    <w:p w14:paraId="75FC7A19">
      <w:pPr>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八</w:t>
      </w:r>
      <w:r>
        <w:rPr>
          <w:rFonts w:hint="eastAsia" w:ascii="宋体" w:hAnsi="宋体" w:eastAsia="宋体" w:cs="宋体"/>
          <w:b/>
          <w:bCs/>
          <w:color w:val="auto"/>
          <w:sz w:val="30"/>
          <w:szCs w:val="30"/>
          <w:highlight w:val="none"/>
        </w:rPr>
        <w:t>条 违约责任</w:t>
      </w:r>
    </w:p>
    <w:p w14:paraId="1540020F">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eastAsia="zh-CN"/>
        </w:rPr>
        <w:t>1</w:t>
      </w:r>
      <w:r>
        <w:rPr>
          <w:rFonts w:hint="eastAsia" w:ascii="宋体" w:hAnsi="宋体" w:eastAsia="宋体" w:cs="宋体"/>
          <w:color w:val="auto"/>
          <w:sz w:val="30"/>
          <w:szCs w:val="30"/>
          <w:highlight w:val="none"/>
        </w:rPr>
        <w:t>、如甲方</w:t>
      </w:r>
      <w:r>
        <w:rPr>
          <w:rFonts w:hint="eastAsia" w:ascii="宋体" w:hAnsi="宋体" w:eastAsia="宋体" w:cs="宋体"/>
          <w:color w:val="auto"/>
          <w:sz w:val="30"/>
          <w:szCs w:val="30"/>
          <w:highlight w:val="none"/>
          <w:lang w:val="en-US" w:eastAsia="zh-CN"/>
        </w:rPr>
        <w:t>无正当理由不按合同期限向乙方支付服务费，经乙方催讨仍未支付的，对于逾期未付的费用，每逾期一天按应付金额的2‰支付滞纳金；</w:t>
      </w:r>
      <w:r>
        <w:rPr>
          <w:rFonts w:hint="eastAsia" w:ascii="宋体" w:hAnsi="宋体" w:eastAsia="宋体" w:cs="宋体"/>
          <w:color w:val="auto"/>
          <w:sz w:val="30"/>
          <w:szCs w:val="30"/>
          <w:highlight w:val="none"/>
        </w:rPr>
        <w:t>逾期</w:t>
      </w:r>
      <w:r>
        <w:rPr>
          <w:rFonts w:hint="eastAsia" w:ascii="宋体" w:hAnsi="宋体" w:eastAsia="宋体" w:cs="宋体"/>
          <w:color w:val="auto"/>
          <w:sz w:val="30"/>
          <w:szCs w:val="30"/>
          <w:highlight w:val="none"/>
          <w:lang w:val="en-US" w:eastAsia="zh-CN"/>
        </w:rPr>
        <w:t>超过30天仍未支付</w:t>
      </w:r>
      <w:r>
        <w:rPr>
          <w:rFonts w:hint="eastAsia" w:ascii="宋体" w:hAnsi="宋体" w:eastAsia="宋体" w:cs="宋体"/>
          <w:color w:val="auto"/>
          <w:sz w:val="30"/>
          <w:szCs w:val="30"/>
          <w:highlight w:val="none"/>
        </w:rPr>
        <w:t>的，乙方有权终止合同。</w:t>
      </w:r>
    </w:p>
    <w:p w14:paraId="747C4B6B">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2、如乙方</w:t>
      </w:r>
      <w:r>
        <w:rPr>
          <w:rFonts w:hint="eastAsia" w:ascii="宋体" w:hAnsi="宋体" w:eastAsia="宋体" w:cs="宋体"/>
          <w:color w:val="auto"/>
          <w:sz w:val="30"/>
          <w:szCs w:val="30"/>
          <w:highlight w:val="none"/>
          <w:lang w:val="en-US" w:eastAsia="zh-CN"/>
        </w:rPr>
        <w:t>未按合同约定提供优质的工程维修设备维护维保服务，给</w:t>
      </w:r>
      <w:r>
        <w:rPr>
          <w:rFonts w:hint="eastAsia" w:ascii="宋体" w:hAnsi="宋体" w:eastAsia="宋体" w:cs="宋体"/>
          <w:color w:val="auto"/>
          <w:sz w:val="30"/>
          <w:szCs w:val="30"/>
          <w:highlight w:val="none"/>
        </w:rPr>
        <w:t>甲方</w:t>
      </w:r>
      <w:r>
        <w:rPr>
          <w:rFonts w:hint="eastAsia" w:ascii="宋体" w:hAnsi="宋体" w:eastAsia="宋体" w:cs="宋体"/>
          <w:color w:val="auto"/>
          <w:sz w:val="30"/>
          <w:szCs w:val="30"/>
          <w:highlight w:val="none"/>
          <w:lang w:val="en-US" w:eastAsia="zh-CN"/>
        </w:rPr>
        <w:t>造成恶劣影响和</w:t>
      </w:r>
      <w:r>
        <w:rPr>
          <w:rFonts w:hint="eastAsia" w:ascii="宋体" w:hAnsi="宋体" w:eastAsia="宋体" w:cs="宋体"/>
          <w:color w:val="auto"/>
          <w:sz w:val="30"/>
          <w:szCs w:val="30"/>
          <w:highlight w:val="none"/>
        </w:rPr>
        <w:t>经济损失的，乙方应给予甲方相应</w:t>
      </w:r>
      <w:r>
        <w:rPr>
          <w:rFonts w:hint="eastAsia" w:ascii="宋体" w:hAnsi="宋体" w:eastAsia="宋体" w:cs="宋体"/>
          <w:color w:val="auto"/>
          <w:sz w:val="30"/>
          <w:szCs w:val="30"/>
          <w:highlight w:val="none"/>
          <w:lang w:val="en-US" w:eastAsia="zh-CN"/>
        </w:rPr>
        <w:t>赔</w:t>
      </w:r>
      <w:r>
        <w:rPr>
          <w:rFonts w:hint="eastAsia" w:ascii="宋体" w:hAnsi="宋体" w:eastAsia="宋体" w:cs="宋体"/>
          <w:color w:val="auto"/>
          <w:sz w:val="30"/>
          <w:szCs w:val="30"/>
          <w:highlight w:val="none"/>
        </w:rPr>
        <w:t>偿</w:t>
      </w:r>
      <w:r>
        <w:rPr>
          <w:rFonts w:hint="eastAsia" w:ascii="宋体" w:hAnsi="宋体" w:eastAsia="宋体" w:cs="宋体"/>
          <w:color w:val="auto"/>
          <w:sz w:val="30"/>
          <w:szCs w:val="30"/>
          <w:highlight w:val="none"/>
          <w:lang w:val="en-US" w:eastAsia="zh-CN"/>
        </w:rPr>
        <w:t>金（包括甲方遭受的一切经济损失）</w:t>
      </w:r>
      <w:r>
        <w:rPr>
          <w:rFonts w:hint="eastAsia" w:ascii="宋体" w:hAnsi="宋体" w:eastAsia="宋体" w:cs="宋体"/>
          <w:color w:val="auto"/>
          <w:sz w:val="30"/>
          <w:szCs w:val="30"/>
          <w:highlight w:val="none"/>
        </w:rPr>
        <w:t>。甲方有权要求乙方限期整改；逾期未能整改的，甲方有权终止合同。</w:t>
      </w:r>
    </w:p>
    <w:p w14:paraId="569E4DA8">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3、出现合</w:t>
      </w:r>
      <w:r>
        <w:rPr>
          <w:rFonts w:hint="eastAsia" w:ascii="宋体" w:hAnsi="宋体" w:eastAsia="宋体" w:cs="宋体"/>
          <w:color w:val="auto"/>
          <w:sz w:val="30"/>
          <w:szCs w:val="30"/>
          <w:highlight w:val="none"/>
        </w:rPr>
        <w:t>同约定</w:t>
      </w:r>
      <w:r>
        <w:rPr>
          <w:rFonts w:hint="eastAsia" w:ascii="宋体" w:hAnsi="宋体" w:eastAsia="宋体" w:cs="宋体"/>
          <w:color w:val="auto"/>
          <w:sz w:val="30"/>
          <w:szCs w:val="30"/>
          <w:highlight w:val="none"/>
          <w:lang w:eastAsia="zh-CN"/>
        </w:rPr>
        <w:t>的</w:t>
      </w:r>
      <w:r>
        <w:rPr>
          <w:rFonts w:hint="eastAsia" w:ascii="宋体" w:hAnsi="宋体" w:eastAsia="宋体" w:cs="宋体"/>
          <w:color w:val="auto"/>
          <w:sz w:val="30"/>
          <w:szCs w:val="30"/>
          <w:highlight w:val="none"/>
        </w:rPr>
        <w:t>原因终止或解除合同的，</w:t>
      </w:r>
      <w:r>
        <w:rPr>
          <w:rFonts w:hint="eastAsia" w:ascii="宋体" w:hAnsi="宋体" w:eastAsia="宋体" w:cs="宋体"/>
          <w:color w:val="auto"/>
          <w:sz w:val="30"/>
          <w:szCs w:val="30"/>
          <w:highlight w:val="none"/>
          <w:lang w:val="en-US" w:eastAsia="zh-CN"/>
        </w:rPr>
        <w:t>违约</w:t>
      </w:r>
      <w:r>
        <w:rPr>
          <w:rFonts w:hint="eastAsia" w:ascii="宋体" w:hAnsi="宋体" w:eastAsia="宋体" w:cs="宋体"/>
          <w:color w:val="auto"/>
          <w:sz w:val="30"/>
          <w:szCs w:val="30"/>
          <w:highlight w:val="none"/>
        </w:rPr>
        <w:t>方应按合同总价款的百分之三十向</w:t>
      </w:r>
      <w:r>
        <w:rPr>
          <w:rFonts w:hint="eastAsia" w:ascii="宋体" w:hAnsi="宋体" w:eastAsia="宋体" w:cs="宋体"/>
          <w:color w:val="auto"/>
          <w:sz w:val="30"/>
          <w:szCs w:val="30"/>
          <w:highlight w:val="none"/>
          <w:lang w:val="en-US" w:eastAsia="zh-CN"/>
        </w:rPr>
        <w:t>守约</w:t>
      </w:r>
      <w:r>
        <w:rPr>
          <w:rFonts w:hint="eastAsia" w:ascii="宋体" w:hAnsi="宋体" w:eastAsia="宋体" w:cs="宋体"/>
          <w:color w:val="auto"/>
          <w:sz w:val="30"/>
          <w:szCs w:val="30"/>
          <w:highlight w:val="none"/>
        </w:rPr>
        <w:t>方支付违约金。</w:t>
      </w:r>
      <w:r>
        <w:rPr>
          <w:rFonts w:hint="eastAsia" w:ascii="宋体" w:hAnsi="宋体" w:eastAsia="宋体" w:cs="宋体"/>
          <w:color w:val="auto"/>
          <w:sz w:val="30"/>
          <w:szCs w:val="30"/>
          <w:highlight w:val="none"/>
          <w:lang w:val="en-US" w:eastAsia="zh-CN"/>
        </w:rPr>
        <w:t>违约金不足以弥补损失的，还应赔偿守约方一切损失。</w:t>
      </w:r>
    </w:p>
    <w:p w14:paraId="470D25EC">
      <w:p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第</w:t>
      </w:r>
      <w:r>
        <w:rPr>
          <w:rFonts w:hint="eastAsia" w:ascii="宋体" w:hAnsi="宋体" w:eastAsia="宋体" w:cs="宋体"/>
          <w:b/>
          <w:bCs/>
          <w:color w:val="auto"/>
          <w:sz w:val="30"/>
          <w:szCs w:val="30"/>
          <w:highlight w:val="none"/>
          <w:lang w:val="en-US" w:eastAsia="zh-CN"/>
        </w:rPr>
        <w:t>九</w:t>
      </w:r>
      <w:r>
        <w:rPr>
          <w:rFonts w:hint="eastAsia" w:ascii="宋体" w:hAnsi="宋体" w:eastAsia="宋体" w:cs="宋体"/>
          <w:b/>
          <w:bCs/>
          <w:color w:val="auto"/>
          <w:sz w:val="30"/>
          <w:szCs w:val="30"/>
          <w:highlight w:val="none"/>
        </w:rPr>
        <w:t>条 其他事项</w:t>
      </w:r>
    </w:p>
    <w:p w14:paraId="3B26A7E8">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1、经过甲方书面确认后，乙方可以</w:t>
      </w:r>
      <w:r>
        <w:rPr>
          <w:rFonts w:hint="eastAsia" w:ascii="宋体" w:hAnsi="宋体" w:eastAsia="宋体" w:cs="宋体"/>
          <w:color w:val="auto"/>
          <w:sz w:val="30"/>
          <w:szCs w:val="30"/>
          <w:highlight w:val="none"/>
          <w:lang w:val="en-US" w:eastAsia="zh-CN"/>
        </w:rPr>
        <w:t>将</w:t>
      </w:r>
      <w:r>
        <w:rPr>
          <w:rFonts w:hint="eastAsia" w:ascii="宋体" w:hAnsi="宋体" w:eastAsia="宋体" w:cs="宋体"/>
          <w:color w:val="auto"/>
          <w:sz w:val="30"/>
          <w:szCs w:val="30"/>
          <w:highlight w:val="none"/>
        </w:rPr>
        <w:t>本合同项下专项业务委托给第三方，相关责任由乙方承担，否则甲方有权解除合同并</w:t>
      </w:r>
      <w:r>
        <w:rPr>
          <w:rFonts w:hint="eastAsia" w:ascii="宋体" w:hAnsi="宋体" w:eastAsia="宋体" w:cs="宋体"/>
          <w:color w:val="auto"/>
          <w:sz w:val="30"/>
          <w:szCs w:val="30"/>
          <w:highlight w:val="none"/>
          <w:lang w:val="en-US" w:eastAsia="zh-CN"/>
        </w:rPr>
        <w:t>按合同总价款的30%追究乙方违约责任</w:t>
      </w:r>
      <w:r>
        <w:rPr>
          <w:rFonts w:hint="eastAsia" w:ascii="宋体" w:hAnsi="宋体" w:eastAsia="宋体" w:cs="宋体"/>
          <w:color w:val="auto"/>
          <w:sz w:val="30"/>
          <w:szCs w:val="30"/>
          <w:highlight w:val="none"/>
        </w:rPr>
        <w:t>。</w:t>
      </w:r>
    </w:p>
    <w:p w14:paraId="4BD5101F">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2、合同履行期满后，本合同自然终止，双方任意一方如续订合同，应在合同期满前30天向对方提出书面要求。</w:t>
      </w:r>
    </w:p>
    <w:p w14:paraId="6D8E84BA">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3、本合同在履行中如发生争议，由双方共同协商解决，协商不成的应向甲方所在地的人民法院提起诉讼解决。因诉讼而产生的包括但不限于诉讼费、保全费、公告费、执行费、差旅费、律师费等由</w:t>
      </w:r>
      <w:r>
        <w:rPr>
          <w:rFonts w:hint="eastAsia" w:ascii="宋体" w:hAnsi="宋体" w:eastAsia="宋体" w:cs="宋体"/>
          <w:color w:val="auto"/>
          <w:sz w:val="30"/>
          <w:szCs w:val="30"/>
          <w:highlight w:val="none"/>
          <w:lang w:val="en-US" w:eastAsia="zh-CN"/>
        </w:rPr>
        <w:t>败诉</w:t>
      </w:r>
      <w:r>
        <w:rPr>
          <w:rFonts w:hint="eastAsia" w:ascii="宋体" w:hAnsi="宋体" w:eastAsia="宋体" w:cs="宋体"/>
          <w:color w:val="auto"/>
          <w:sz w:val="30"/>
          <w:szCs w:val="30"/>
          <w:highlight w:val="none"/>
        </w:rPr>
        <w:t>方承担。</w:t>
      </w:r>
    </w:p>
    <w:p w14:paraId="04C92CC2">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lang w:val="en-US" w:eastAsia="zh-CN"/>
        </w:rPr>
        <w:t>4</w:t>
      </w:r>
      <w:r>
        <w:rPr>
          <w:rFonts w:hint="eastAsia" w:ascii="宋体" w:hAnsi="宋体" w:eastAsia="宋体" w:cs="宋体"/>
          <w:color w:val="auto"/>
          <w:sz w:val="30"/>
          <w:szCs w:val="30"/>
          <w:highlight w:val="none"/>
        </w:rPr>
        <w:t>、甲乙双方从对方处获得的商业机密，未经双方同意均不得泄露给第三方。</w:t>
      </w:r>
    </w:p>
    <w:p w14:paraId="62CD440A">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b/>
          <w:bCs/>
          <w:color w:val="auto"/>
          <w:sz w:val="30"/>
          <w:szCs w:val="30"/>
          <w:highlight w:val="none"/>
        </w:rPr>
        <w:t>第十条 附件</w:t>
      </w:r>
    </w:p>
    <w:p w14:paraId="23B1CB6C">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本合同附件或补充协议与本合同具有同等法律效力。</w:t>
      </w:r>
    </w:p>
    <w:p w14:paraId="105F658B">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b/>
          <w:bCs/>
          <w:color w:val="auto"/>
          <w:sz w:val="30"/>
          <w:szCs w:val="30"/>
          <w:highlight w:val="none"/>
        </w:rPr>
        <w:t>第十</w:t>
      </w:r>
      <w:r>
        <w:rPr>
          <w:rFonts w:hint="eastAsia" w:ascii="宋体" w:hAnsi="宋体" w:eastAsia="宋体" w:cs="宋体"/>
          <w:b/>
          <w:bCs/>
          <w:color w:val="auto"/>
          <w:sz w:val="30"/>
          <w:szCs w:val="30"/>
          <w:highlight w:val="none"/>
          <w:lang w:val="en-US" w:eastAsia="zh-CN"/>
        </w:rPr>
        <w:t>一</w:t>
      </w:r>
      <w:r>
        <w:rPr>
          <w:rFonts w:hint="eastAsia" w:ascii="宋体" w:hAnsi="宋体" w:eastAsia="宋体" w:cs="宋体"/>
          <w:b/>
          <w:bCs/>
          <w:color w:val="auto"/>
          <w:sz w:val="30"/>
          <w:szCs w:val="30"/>
          <w:highlight w:val="none"/>
        </w:rPr>
        <w:t>条 其他</w:t>
      </w:r>
    </w:p>
    <w:p w14:paraId="627296C6">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本合同一式</w:t>
      </w:r>
      <w:r>
        <w:rPr>
          <w:rFonts w:hint="eastAsia" w:ascii="宋体" w:hAnsi="宋体" w:eastAsia="宋体" w:cs="宋体"/>
          <w:color w:val="auto"/>
          <w:sz w:val="30"/>
          <w:szCs w:val="30"/>
          <w:highlight w:val="none"/>
          <w:lang w:val="en-US" w:eastAsia="zh-CN"/>
        </w:rPr>
        <w:t>伍</w:t>
      </w:r>
      <w:r>
        <w:rPr>
          <w:rFonts w:hint="eastAsia" w:ascii="宋体" w:hAnsi="宋体" w:eastAsia="宋体" w:cs="宋体"/>
          <w:color w:val="auto"/>
          <w:sz w:val="30"/>
          <w:szCs w:val="30"/>
          <w:highlight w:val="none"/>
        </w:rPr>
        <w:t>份，甲</w:t>
      </w:r>
      <w:r>
        <w:rPr>
          <w:rFonts w:hint="eastAsia" w:ascii="宋体" w:hAnsi="宋体" w:eastAsia="宋体" w:cs="宋体"/>
          <w:color w:val="auto"/>
          <w:sz w:val="30"/>
          <w:szCs w:val="30"/>
          <w:highlight w:val="none"/>
          <w:lang w:val="en-US" w:eastAsia="zh-CN"/>
        </w:rPr>
        <w:t>方执叁份，乙方执贰份</w:t>
      </w:r>
      <w:r>
        <w:rPr>
          <w:rFonts w:hint="eastAsia" w:ascii="宋体" w:hAnsi="宋体" w:eastAsia="宋体" w:cs="宋体"/>
          <w:color w:val="auto"/>
          <w:sz w:val="30"/>
          <w:szCs w:val="30"/>
          <w:highlight w:val="none"/>
        </w:rPr>
        <w:t>。自双方签字盖章之日起生效。合同如有未尽事宜，由双方共同协商，签订补充协议，补充协议与合同约定不一致的，优先适用补充协议。</w:t>
      </w:r>
    </w:p>
    <w:p w14:paraId="088CBE26">
      <w:pPr>
        <w:kinsoku/>
        <w:wordWrap/>
        <w:overflowPunct/>
        <w:topLinePunct w:val="0"/>
        <w:autoSpaceDE/>
        <w:autoSpaceDN/>
        <w:bidi w:val="0"/>
        <w:adjustRightInd/>
        <w:snapToGrid/>
        <w:spacing w:line="360" w:lineRule="auto"/>
        <w:ind w:firstLine="600" w:firstLineChars="200"/>
        <w:textAlignment w:val="auto"/>
        <w:rPr>
          <w:rFonts w:hint="eastAsia" w:ascii="宋体" w:hAnsi="宋体" w:eastAsia="宋体" w:cs="宋体"/>
          <w:color w:val="auto"/>
          <w:sz w:val="30"/>
          <w:szCs w:val="30"/>
          <w:highlight w:val="none"/>
        </w:rPr>
      </w:pPr>
    </w:p>
    <w:p w14:paraId="6190B113">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甲方（盖章）：</w:t>
      </w:r>
    </w:p>
    <w:p w14:paraId="151411E2">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法定代表人或委托代理人（签字）：</w:t>
      </w:r>
    </w:p>
    <w:p w14:paraId="17806FB8">
      <w:pPr>
        <w:kinsoku/>
        <w:wordWrap/>
        <w:overflowPunct/>
        <w:topLinePunct w:val="0"/>
        <w:autoSpaceDE/>
        <w:autoSpaceDN/>
        <w:bidi w:val="0"/>
        <w:adjustRightInd/>
        <w:snapToGrid/>
        <w:spacing w:line="360" w:lineRule="auto"/>
        <w:jc w:val="right"/>
        <w:textAlignment w:val="auto"/>
        <w:rPr>
          <w:rFonts w:hint="eastAsia" w:ascii="宋体" w:hAnsi="宋体" w:eastAsia="宋体" w:cs="宋体"/>
          <w:color w:val="auto"/>
          <w:sz w:val="30"/>
          <w:szCs w:val="30"/>
          <w:highlight w:val="none"/>
        </w:rPr>
      </w:pPr>
    </w:p>
    <w:p w14:paraId="72FE7EAC">
      <w:pPr>
        <w:kinsoku/>
        <w:wordWrap/>
        <w:overflowPunct/>
        <w:topLinePunct w:val="0"/>
        <w:autoSpaceDE/>
        <w:autoSpaceDN/>
        <w:bidi w:val="0"/>
        <w:adjustRightInd/>
        <w:snapToGrid/>
        <w:spacing w:line="360" w:lineRule="auto"/>
        <w:jc w:val="right"/>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年    月    日</w:t>
      </w:r>
    </w:p>
    <w:p w14:paraId="09638A3E">
      <w:pPr>
        <w:kinsoku/>
        <w:wordWrap/>
        <w:overflowPunct/>
        <w:topLinePunct w:val="0"/>
        <w:autoSpaceDE/>
        <w:autoSpaceDN/>
        <w:bidi w:val="0"/>
        <w:adjustRightInd/>
        <w:snapToGrid/>
        <w:spacing w:line="360" w:lineRule="auto"/>
        <w:jc w:val="right"/>
        <w:textAlignment w:val="auto"/>
        <w:rPr>
          <w:rFonts w:hint="eastAsia" w:ascii="宋体" w:hAnsi="宋体" w:eastAsia="宋体" w:cs="宋体"/>
          <w:color w:val="auto"/>
          <w:sz w:val="30"/>
          <w:szCs w:val="30"/>
          <w:highlight w:val="none"/>
        </w:rPr>
      </w:pPr>
    </w:p>
    <w:p w14:paraId="6886D324">
      <w:pPr>
        <w:kinsoku/>
        <w:wordWrap/>
        <w:overflowPunct/>
        <w:topLinePunct w:val="0"/>
        <w:autoSpaceDE/>
        <w:autoSpaceDN/>
        <w:bidi w:val="0"/>
        <w:adjustRightInd/>
        <w:snapToGrid/>
        <w:spacing w:line="360" w:lineRule="auto"/>
        <w:jc w:val="right"/>
        <w:textAlignment w:val="auto"/>
        <w:rPr>
          <w:rFonts w:hint="eastAsia" w:ascii="宋体" w:hAnsi="宋体" w:eastAsia="宋体" w:cs="宋体"/>
          <w:color w:val="auto"/>
          <w:sz w:val="30"/>
          <w:szCs w:val="30"/>
          <w:highlight w:val="none"/>
        </w:rPr>
      </w:pPr>
    </w:p>
    <w:p w14:paraId="4E01404F">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乙方（盖章）：</w:t>
      </w:r>
    </w:p>
    <w:p w14:paraId="40520C15">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法定代表人或委托代理人（签字）</w:t>
      </w:r>
    </w:p>
    <w:p w14:paraId="332429D8">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p>
    <w:p w14:paraId="2619039B">
      <w:pPr>
        <w:kinsoku/>
        <w:wordWrap/>
        <w:overflowPunct/>
        <w:topLinePunct w:val="0"/>
        <w:autoSpaceDE/>
        <w:autoSpaceDN/>
        <w:bidi w:val="0"/>
        <w:adjustRightInd/>
        <w:snapToGrid/>
        <w:spacing w:line="360" w:lineRule="auto"/>
        <w:jc w:val="right"/>
        <w:textAlignment w:val="auto"/>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年    月    日</w:t>
      </w:r>
    </w:p>
    <w:p w14:paraId="32EA98BE">
      <w:pPr>
        <w:kinsoku/>
        <w:wordWrap/>
        <w:overflowPunct/>
        <w:topLinePunct w:val="0"/>
        <w:autoSpaceDE/>
        <w:autoSpaceDN/>
        <w:bidi w:val="0"/>
        <w:adjustRightInd/>
        <w:snapToGrid/>
        <w:spacing w:line="480" w:lineRule="auto"/>
        <w:ind w:firstLine="300" w:firstLineChars="100"/>
        <w:textAlignment w:val="auto"/>
        <w:rPr>
          <w:rFonts w:hint="eastAsia" w:ascii="宋体" w:hAnsi="宋体" w:eastAsia="宋体" w:cs="宋体"/>
          <w:color w:val="auto"/>
          <w:sz w:val="30"/>
          <w:szCs w:val="30"/>
          <w:highlight w:val="none"/>
        </w:rPr>
      </w:pPr>
    </w:p>
    <w:p w14:paraId="50B0F2EB">
      <w:pPr>
        <w:kinsoku/>
        <w:wordWrap/>
        <w:overflowPunct/>
        <w:topLinePunct w:val="0"/>
        <w:autoSpaceDE/>
        <w:autoSpaceDN/>
        <w:bidi w:val="0"/>
        <w:adjustRightInd/>
        <w:snapToGrid/>
        <w:spacing w:line="360" w:lineRule="auto"/>
        <w:ind w:firstLine="300" w:firstLineChars="100"/>
        <w:textAlignment w:val="auto"/>
        <w:rPr>
          <w:rFonts w:hint="eastAsia" w:ascii="宋体" w:hAnsi="宋体" w:eastAsia="宋体" w:cs="宋体"/>
          <w:color w:val="auto"/>
          <w:sz w:val="30"/>
          <w:szCs w:val="30"/>
          <w:highlight w:val="none"/>
        </w:rPr>
      </w:pPr>
    </w:p>
    <w:p w14:paraId="19ABEA03">
      <w:pPr>
        <w:kinsoku/>
        <w:wordWrap/>
        <w:overflowPunct/>
        <w:topLinePunct w:val="0"/>
        <w:autoSpaceDE/>
        <w:autoSpaceDN/>
        <w:bidi w:val="0"/>
        <w:adjustRightInd/>
        <w:snapToGrid/>
        <w:spacing w:line="360" w:lineRule="auto"/>
        <w:ind w:firstLine="300" w:firstLineChars="100"/>
        <w:textAlignment w:val="auto"/>
        <w:rPr>
          <w:rFonts w:hint="eastAsia" w:ascii="宋体" w:hAnsi="宋体" w:eastAsia="宋体" w:cs="宋体"/>
          <w:color w:val="auto"/>
          <w:sz w:val="30"/>
          <w:szCs w:val="30"/>
          <w:highlight w:val="none"/>
        </w:rPr>
      </w:pPr>
    </w:p>
    <w:p w14:paraId="7E61996F">
      <w:p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30"/>
          <w:szCs w:val="30"/>
          <w:highlight w:val="none"/>
        </w:rPr>
      </w:pPr>
    </w:p>
    <w:p w14:paraId="5444A1D7">
      <w:pPr>
        <w:pageBreakBefore w:val="0"/>
        <w:kinsoku/>
        <w:wordWrap/>
        <w:overflowPunct/>
        <w:topLinePunct w:val="0"/>
        <w:autoSpaceDE/>
        <w:autoSpaceDN/>
        <w:bidi w:val="0"/>
        <w:adjustRightInd/>
        <w:snapToGrid/>
        <w:spacing w:before="50" w:line="300" w:lineRule="auto"/>
        <w:textAlignment w:val="auto"/>
        <w:rPr>
          <w:rFonts w:hint="eastAsia" w:ascii="仿宋" w:hAnsi="仿宋" w:eastAsia="仿宋" w:cs="仿宋"/>
          <w:b/>
          <w:color w:val="auto"/>
          <w:sz w:val="24"/>
          <w:highlight w:val="none"/>
        </w:rPr>
      </w:pPr>
      <w:r>
        <w:rPr>
          <w:rFonts w:hint="eastAsia" w:ascii="仿宋" w:hAnsi="仿宋" w:eastAsia="仿宋" w:cs="仿宋"/>
          <w:color w:val="auto"/>
          <w:sz w:val="24"/>
          <w:highlight w:val="none"/>
        </w:rPr>
        <w:br w:type="page"/>
      </w:r>
      <w:r>
        <w:rPr>
          <w:rFonts w:hint="eastAsia" w:ascii="仿宋" w:hAnsi="仿宋" w:eastAsia="仿宋" w:cs="仿宋"/>
          <w:b/>
          <w:color w:val="auto"/>
          <w:sz w:val="24"/>
          <w:highlight w:val="none"/>
        </w:rPr>
        <w:t>附件</w:t>
      </w:r>
      <w:r>
        <w:rPr>
          <w:rFonts w:hint="eastAsia" w:ascii="仿宋" w:hAnsi="仿宋" w:eastAsia="仿宋" w:cs="仿宋"/>
          <w:b/>
          <w:color w:val="auto"/>
          <w:sz w:val="24"/>
          <w:highlight w:val="none"/>
          <w:lang w:val="en-US" w:eastAsia="zh-CN"/>
        </w:rPr>
        <w:t>1</w:t>
      </w:r>
      <w:r>
        <w:rPr>
          <w:rFonts w:hint="eastAsia" w:ascii="仿宋" w:hAnsi="仿宋" w:eastAsia="仿宋" w:cs="仿宋"/>
          <w:b/>
          <w:color w:val="auto"/>
          <w:sz w:val="24"/>
          <w:highlight w:val="none"/>
        </w:rPr>
        <w:t>：</w:t>
      </w:r>
      <w:r>
        <w:rPr>
          <w:rFonts w:hint="eastAsia" w:ascii="仿宋" w:hAnsi="仿宋" w:eastAsia="仿宋" w:cs="仿宋"/>
          <w:b/>
          <w:color w:val="auto"/>
          <w:sz w:val="24"/>
          <w:highlight w:val="none"/>
          <w:lang w:val="en-US" w:eastAsia="zh-CN"/>
        </w:rPr>
        <w:t>水电运行保障</w:t>
      </w:r>
      <w:r>
        <w:rPr>
          <w:rFonts w:hint="eastAsia" w:ascii="仿宋" w:hAnsi="仿宋" w:eastAsia="仿宋" w:cs="仿宋"/>
          <w:b/>
          <w:color w:val="auto"/>
          <w:sz w:val="24"/>
          <w:highlight w:val="none"/>
        </w:rPr>
        <w:t>作业规程及标准</w:t>
      </w:r>
    </w:p>
    <w:p w14:paraId="5558B5DD">
      <w:pPr>
        <w:kinsoku/>
        <w:wordWrap/>
        <w:overflowPunct/>
        <w:topLinePunct w:val="0"/>
        <w:autoSpaceDE/>
        <w:autoSpaceDN/>
        <w:bidi w:val="0"/>
        <w:adjustRightInd/>
        <w:snapToGrid/>
        <w:spacing w:before="120" w:beforeLines="50" w:line="360" w:lineRule="auto"/>
        <w:ind w:firstLine="0" w:firstLineChars="0"/>
        <w:jc w:val="left"/>
        <w:textAlignment w:val="auto"/>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rPr>
        <w:t>水电运行保障作业规程及标准</w:t>
      </w:r>
    </w:p>
    <w:p w14:paraId="76841FA6">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1</w:t>
      </w:r>
      <w:r>
        <w:rPr>
          <w:rFonts w:hint="eastAsia" w:ascii="仿宋" w:hAnsi="仿宋" w:eastAsia="仿宋" w:cs="仿宋"/>
          <w:bCs/>
          <w:color w:val="auto"/>
          <w:sz w:val="24"/>
          <w:szCs w:val="24"/>
          <w:highlight w:val="none"/>
        </w:rPr>
        <w:t xml:space="preserve">、水电运行保障 </w:t>
      </w:r>
    </w:p>
    <w:p w14:paraId="7D4BB217">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1</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rPr>
        <w:t>负责高低压配电室、高压电站、水泵房、变压器、供水供电线路设备正常运行及维护保养等工作。</w:t>
      </w:r>
    </w:p>
    <w:p w14:paraId="018F6D84">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2）</w:t>
      </w:r>
      <w:r>
        <w:rPr>
          <w:rFonts w:hint="eastAsia" w:ascii="仿宋" w:hAnsi="仿宋" w:eastAsia="仿宋" w:cs="仿宋"/>
          <w:bCs/>
          <w:color w:val="auto"/>
          <w:sz w:val="24"/>
          <w:szCs w:val="24"/>
          <w:highlight w:val="none"/>
        </w:rPr>
        <w:t>保电时间内遇市电停电、城水停水，在规定时间内启动自备发电机组和自备供水设备供水。</w:t>
      </w:r>
    </w:p>
    <w:p w14:paraId="1814417F">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3）</w:t>
      </w:r>
      <w:r>
        <w:rPr>
          <w:rFonts w:hint="eastAsia" w:ascii="仿宋" w:hAnsi="仿宋" w:eastAsia="仿宋" w:cs="仿宋"/>
          <w:bCs/>
          <w:color w:val="auto"/>
          <w:sz w:val="24"/>
          <w:szCs w:val="24"/>
          <w:highlight w:val="none"/>
        </w:rPr>
        <w:t>每星期预热一次发电机，一星期对消防泵、机运转一次，并做好运行记录确保随时启用。</w:t>
      </w:r>
    </w:p>
    <w:p w14:paraId="0EA83E14">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4）</w:t>
      </w:r>
      <w:r>
        <w:rPr>
          <w:rFonts w:hint="eastAsia" w:ascii="仿宋" w:hAnsi="仿宋" w:eastAsia="仿宋" w:cs="仿宋"/>
          <w:bCs/>
          <w:color w:val="auto"/>
          <w:sz w:val="24"/>
          <w:szCs w:val="24"/>
          <w:highlight w:val="none"/>
        </w:rPr>
        <w:t>每月最少一次对高低压变配电设备和水加压设备、变压设备（含变压器）的检查及电柜保洁，同时检查连接锣件是否紧固，柜内设备每学期最少除尘一次。</w:t>
      </w:r>
    </w:p>
    <w:p w14:paraId="4ABE34DE">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5）</w:t>
      </w:r>
      <w:r>
        <w:rPr>
          <w:rFonts w:hint="eastAsia" w:ascii="仿宋" w:hAnsi="仿宋" w:eastAsia="仿宋" w:cs="仿宋"/>
          <w:bCs/>
          <w:color w:val="auto"/>
          <w:sz w:val="24"/>
          <w:szCs w:val="24"/>
          <w:highlight w:val="none"/>
        </w:rPr>
        <w:t>根据季节变化，及时调整道路路灯时控器和教学楼电铃的作息时间。</w:t>
      </w:r>
    </w:p>
    <w:p w14:paraId="00032BC7">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6）</w:t>
      </w:r>
      <w:r>
        <w:rPr>
          <w:rFonts w:hint="eastAsia" w:ascii="仿宋" w:hAnsi="仿宋" w:eastAsia="仿宋" w:cs="仿宋"/>
          <w:bCs/>
          <w:color w:val="auto"/>
          <w:sz w:val="24"/>
          <w:szCs w:val="24"/>
          <w:highlight w:val="none"/>
        </w:rPr>
        <w:t>坚持配电房（配电中心）有专人负责，24小时轮流值班制并接听电话，处理水电运行故障及事务，紧急情况及时向学校水电监管部门汇报，上岗不脱岗、不离岗。</w:t>
      </w:r>
    </w:p>
    <w:p w14:paraId="30A19D31">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7）</w:t>
      </w:r>
      <w:r>
        <w:rPr>
          <w:rFonts w:hint="eastAsia" w:ascii="仿宋" w:hAnsi="仿宋" w:eastAsia="仿宋" w:cs="仿宋"/>
          <w:bCs/>
          <w:color w:val="auto"/>
          <w:sz w:val="24"/>
          <w:szCs w:val="24"/>
          <w:highlight w:val="none"/>
        </w:rPr>
        <w:t>加强与市政供电供水部门联系，了解停电停水信息及时向师生发布公告。</w:t>
      </w:r>
    </w:p>
    <w:p w14:paraId="776AFF32">
      <w:pPr>
        <w:numPr>
          <w:ilvl w:val="0"/>
          <w:numId w:val="0"/>
        </w:num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2、</w:t>
      </w:r>
      <w:r>
        <w:rPr>
          <w:rFonts w:hint="eastAsia" w:ascii="仿宋" w:hAnsi="仿宋" w:eastAsia="仿宋" w:cs="仿宋"/>
          <w:bCs/>
          <w:color w:val="auto"/>
          <w:sz w:val="24"/>
          <w:szCs w:val="24"/>
          <w:highlight w:val="none"/>
        </w:rPr>
        <w:t>维修服务</w:t>
      </w:r>
    </w:p>
    <w:p w14:paraId="2B922396">
      <w:pPr>
        <w:numPr>
          <w:ilvl w:val="0"/>
          <w:numId w:val="0"/>
        </w:num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1）</w:t>
      </w:r>
      <w:r>
        <w:rPr>
          <w:rFonts w:hint="eastAsia" w:ascii="仿宋" w:hAnsi="仿宋" w:eastAsia="仿宋" w:cs="仿宋"/>
          <w:bCs/>
          <w:color w:val="auto"/>
          <w:sz w:val="24"/>
          <w:szCs w:val="24"/>
          <w:highlight w:val="none"/>
        </w:rPr>
        <w:t>建立严格的维修制度，按要求建立报修台，有专人受理报修，公示服务热线电话，配齐各专业技术人员，接报修后维修须及时、快速。紧急维修不超过半小时，一般维修半个工作日内（当天）完成，维修完成后要求楼栋管理员及报修人分别签字验收。</w:t>
      </w:r>
    </w:p>
    <w:p w14:paraId="006505DA">
      <w:pPr>
        <w:numPr>
          <w:ilvl w:val="0"/>
          <w:numId w:val="0"/>
        </w:num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2）</w:t>
      </w:r>
      <w:r>
        <w:rPr>
          <w:rFonts w:hint="eastAsia" w:ascii="仿宋" w:hAnsi="仿宋" w:eastAsia="仿宋" w:cs="仿宋"/>
          <w:bCs/>
          <w:color w:val="auto"/>
          <w:sz w:val="24"/>
          <w:szCs w:val="24"/>
          <w:highlight w:val="none"/>
        </w:rPr>
        <w:t>水电维修有专人负责，24小时安排值班，定时检查配电间设备、各类配电柜（箱）、</w:t>
      </w:r>
      <w:r>
        <w:rPr>
          <w:rFonts w:hint="eastAsia" w:ascii="仿宋" w:hAnsi="仿宋" w:eastAsia="仿宋" w:cs="仿宋"/>
          <w:bCs/>
          <w:color w:val="auto"/>
          <w:sz w:val="24"/>
          <w:szCs w:val="24"/>
          <w:highlight w:val="none"/>
          <w:lang w:val="en-US" w:eastAsia="zh-CN"/>
        </w:rPr>
        <w:t>水电表</w:t>
      </w:r>
      <w:r>
        <w:rPr>
          <w:rFonts w:hint="eastAsia" w:ascii="仿宋" w:hAnsi="仿宋" w:eastAsia="仿宋" w:cs="仿宋"/>
          <w:bCs/>
          <w:color w:val="auto"/>
          <w:sz w:val="24"/>
          <w:szCs w:val="24"/>
          <w:highlight w:val="none"/>
        </w:rPr>
        <w:t>、用电线路、照明系统及其它水电设施设备，及时排除故障，规范操作规程，确保用电安全。</w:t>
      </w:r>
    </w:p>
    <w:p w14:paraId="3C0BADAC">
      <w:pPr>
        <w:numPr>
          <w:ilvl w:val="0"/>
          <w:numId w:val="0"/>
        </w:num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3）</w:t>
      </w:r>
      <w:r>
        <w:rPr>
          <w:rFonts w:hint="eastAsia" w:ascii="仿宋" w:hAnsi="仿宋" w:eastAsia="仿宋" w:cs="仿宋"/>
          <w:bCs/>
          <w:color w:val="auto"/>
          <w:sz w:val="24"/>
          <w:szCs w:val="24"/>
          <w:highlight w:val="none"/>
        </w:rPr>
        <w:t>对室内外水电管线、</w:t>
      </w:r>
      <w:r>
        <w:rPr>
          <w:rFonts w:hint="eastAsia" w:ascii="仿宋" w:hAnsi="仿宋" w:eastAsia="仿宋" w:cs="仿宋"/>
          <w:bCs/>
          <w:color w:val="auto"/>
          <w:sz w:val="24"/>
          <w:szCs w:val="24"/>
          <w:highlight w:val="none"/>
          <w:lang w:val="en-US" w:eastAsia="zh-CN"/>
        </w:rPr>
        <w:t>水电表</w:t>
      </w:r>
      <w:r>
        <w:rPr>
          <w:rFonts w:hint="eastAsia" w:ascii="仿宋" w:hAnsi="仿宋" w:eastAsia="仿宋" w:cs="仿宋"/>
          <w:bCs/>
          <w:color w:val="auto"/>
          <w:sz w:val="24"/>
          <w:szCs w:val="24"/>
          <w:highlight w:val="none"/>
        </w:rPr>
        <w:t>、照明、水电开关等设施设备进行巡查，</w:t>
      </w:r>
      <w:r>
        <w:rPr>
          <w:rFonts w:hint="eastAsia" w:ascii="仿宋" w:hAnsi="仿宋" w:eastAsia="仿宋" w:cs="仿宋"/>
          <w:bCs/>
          <w:color w:val="auto"/>
          <w:sz w:val="24"/>
          <w:szCs w:val="24"/>
          <w:highlight w:val="none"/>
          <w:lang w:eastAsia="zh-CN"/>
        </w:rPr>
        <w:t>智能电表运营，</w:t>
      </w:r>
      <w:r>
        <w:rPr>
          <w:rFonts w:hint="eastAsia" w:ascii="仿宋" w:hAnsi="仿宋" w:eastAsia="仿宋" w:cs="仿宋"/>
          <w:bCs/>
          <w:color w:val="auto"/>
          <w:sz w:val="24"/>
          <w:szCs w:val="24"/>
          <w:highlight w:val="none"/>
        </w:rPr>
        <w:t>及时发现故障当场修复，保证正常的用水用电供应。若水电设施出现不可抗拒因素造成大故障，应及时呈报</w:t>
      </w:r>
      <w:r>
        <w:rPr>
          <w:rFonts w:hint="eastAsia" w:ascii="仿宋" w:hAnsi="仿宋" w:eastAsia="仿宋" w:cs="仿宋"/>
          <w:bCs/>
          <w:color w:val="auto"/>
          <w:sz w:val="24"/>
          <w:szCs w:val="24"/>
          <w:highlight w:val="none"/>
          <w:lang w:val="en-US" w:eastAsia="zh-CN"/>
        </w:rPr>
        <w:t>后勤基建处</w:t>
      </w:r>
      <w:r>
        <w:rPr>
          <w:rFonts w:hint="eastAsia" w:ascii="仿宋" w:hAnsi="仿宋" w:eastAsia="仿宋" w:cs="仿宋"/>
          <w:bCs/>
          <w:color w:val="auto"/>
          <w:sz w:val="24"/>
          <w:szCs w:val="24"/>
          <w:highlight w:val="none"/>
        </w:rPr>
        <w:t>，张贴信息公告，并组织人员抢修。</w:t>
      </w:r>
    </w:p>
    <w:p w14:paraId="6F7DFA65">
      <w:pPr>
        <w:numPr>
          <w:ilvl w:val="0"/>
          <w:numId w:val="0"/>
        </w:num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4）</w:t>
      </w:r>
      <w:r>
        <w:rPr>
          <w:rFonts w:hint="eastAsia" w:ascii="仿宋" w:hAnsi="仿宋" w:eastAsia="仿宋" w:cs="仿宋"/>
          <w:bCs/>
          <w:color w:val="auto"/>
          <w:sz w:val="24"/>
          <w:szCs w:val="24"/>
          <w:highlight w:val="none"/>
        </w:rPr>
        <w:t>建立设备报修、维修档案，楼内设备设施完好率达到9</w:t>
      </w:r>
      <w:r>
        <w:rPr>
          <w:rFonts w:hint="eastAsia" w:ascii="仿宋" w:hAnsi="仿宋" w:eastAsia="仿宋" w:cs="仿宋"/>
          <w:bCs/>
          <w:color w:val="auto"/>
          <w:sz w:val="24"/>
          <w:szCs w:val="24"/>
          <w:highlight w:val="none"/>
          <w:lang w:val="en-US" w:eastAsia="zh-CN"/>
        </w:rPr>
        <w:t>5</w:t>
      </w:r>
      <w:r>
        <w:rPr>
          <w:rFonts w:hint="eastAsia" w:ascii="仿宋" w:hAnsi="仿宋" w:eastAsia="仿宋" w:cs="仿宋"/>
          <w:bCs/>
          <w:color w:val="auto"/>
          <w:sz w:val="24"/>
          <w:szCs w:val="24"/>
          <w:highlight w:val="none"/>
        </w:rPr>
        <w:t>％以上。</w:t>
      </w:r>
    </w:p>
    <w:p w14:paraId="0B951791">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3</w:t>
      </w:r>
      <w:r>
        <w:rPr>
          <w:rFonts w:hint="eastAsia" w:ascii="仿宋" w:hAnsi="仿宋" w:eastAsia="仿宋" w:cs="仿宋"/>
          <w:bCs/>
          <w:color w:val="auto"/>
          <w:sz w:val="24"/>
          <w:szCs w:val="24"/>
          <w:highlight w:val="none"/>
        </w:rPr>
        <w:t>、工作</w:t>
      </w:r>
      <w:r>
        <w:rPr>
          <w:rFonts w:hint="eastAsia" w:ascii="仿宋" w:hAnsi="仿宋" w:eastAsia="仿宋" w:cs="仿宋"/>
          <w:bCs/>
          <w:color w:val="auto"/>
          <w:sz w:val="24"/>
          <w:szCs w:val="24"/>
          <w:highlight w:val="none"/>
          <w:lang w:val="en-US" w:eastAsia="zh-CN"/>
        </w:rPr>
        <w:t>标准</w:t>
      </w:r>
      <w:r>
        <w:rPr>
          <w:rFonts w:hint="eastAsia" w:ascii="仿宋" w:hAnsi="仿宋" w:eastAsia="仿宋" w:cs="仿宋"/>
          <w:bCs/>
          <w:color w:val="auto"/>
          <w:sz w:val="24"/>
          <w:szCs w:val="24"/>
          <w:highlight w:val="none"/>
        </w:rPr>
        <w:t>:</w:t>
      </w:r>
    </w:p>
    <w:p w14:paraId="601852BA">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1）</w:t>
      </w:r>
      <w:r>
        <w:rPr>
          <w:rFonts w:hint="eastAsia" w:ascii="仿宋" w:hAnsi="仿宋" w:eastAsia="仿宋" w:cs="仿宋"/>
          <w:bCs/>
          <w:color w:val="auto"/>
          <w:sz w:val="24"/>
          <w:szCs w:val="24"/>
          <w:highlight w:val="none"/>
        </w:rPr>
        <w:t>制定《高低压配电室管理规定》、《高低压断送电操作规定》、《高低压供电设备检测规定》、《二次供水泵房管理规定》并组织工作人员学习并贯彻实施。</w:t>
      </w:r>
    </w:p>
    <w:p w14:paraId="37E34D0B">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2）</w:t>
      </w:r>
      <w:r>
        <w:rPr>
          <w:rFonts w:hint="eastAsia" w:ascii="仿宋" w:hAnsi="仿宋" w:eastAsia="仿宋" w:cs="仿宋"/>
          <w:bCs/>
          <w:color w:val="auto"/>
          <w:sz w:val="24"/>
          <w:szCs w:val="24"/>
          <w:highlight w:val="none"/>
        </w:rPr>
        <w:t>做好高低压配电室、光伏电站、水泵房、供水供电线路正常运行及维护等工作。做好各高压配电室、光伏电站的巡查工作（每天必须有3次以上），记录各处设备运行状态、仪表数据等，发现问题及时处理并上报。巡查、操作断送电或维修必须有2人以上进行，完成后填写好操作单。</w:t>
      </w:r>
    </w:p>
    <w:p w14:paraId="16E7957B">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3）</w:t>
      </w:r>
      <w:r>
        <w:rPr>
          <w:rFonts w:hint="eastAsia" w:ascii="仿宋" w:hAnsi="仿宋" w:eastAsia="仿宋" w:cs="仿宋"/>
          <w:bCs/>
          <w:color w:val="auto"/>
          <w:sz w:val="24"/>
          <w:szCs w:val="24"/>
          <w:highlight w:val="none"/>
        </w:rPr>
        <w:t>低压配电室、供电供水管线每天一小查，每周一大查，做好检查记录，发现问题及时解决并上报。</w:t>
      </w:r>
    </w:p>
    <w:p w14:paraId="29308A36">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4）</w:t>
      </w:r>
      <w:r>
        <w:rPr>
          <w:rFonts w:hint="eastAsia" w:ascii="仿宋" w:hAnsi="仿宋" w:eastAsia="仿宋" w:cs="仿宋"/>
          <w:bCs/>
          <w:color w:val="auto"/>
          <w:sz w:val="24"/>
          <w:szCs w:val="24"/>
          <w:highlight w:val="none"/>
        </w:rPr>
        <w:t>每周巡查专线线路2次，遇到恶劣天气必须增加巡查次数，做好巡查工作记录，发现问题及时处理并上报。</w:t>
      </w:r>
    </w:p>
    <w:p w14:paraId="269FCC5F">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5）</w:t>
      </w:r>
      <w:r>
        <w:rPr>
          <w:rFonts w:hint="eastAsia" w:ascii="仿宋" w:hAnsi="仿宋" w:eastAsia="仿宋" w:cs="仿宋"/>
          <w:bCs/>
          <w:color w:val="auto"/>
          <w:sz w:val="24"/>
          <w:szCs w:val="24"/>
          <w:highlight w:val="none"/>
        </w:rPr>
        <w:t>寒署假要倒换供电设备各1次，倒换前对设备做必要的检测，合格后才能倒换。</w:t>
      </w:r>
    </w:p>
    <w:p w14:paraId="05926CA2">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6）</w:t>
      </w:r>
      <w:r>
        <w:rPr>
          <w:rFonts w:hint="eastAsia" w:ascii="仿宋" w:hAnsi="仿宋" w:eastAsia="仿宋" w:cs="仿宋"/>
          <w:bCs/>
          <w:color w:val="auto"/>
          <w:sz w:val="24"/>
          <w:szCs w:val="24"/>
          <w:highlight w:val="none"/>
        </w:rPr>
        <w:t>二次供水泵房每天巡查不少于2次，检查供水泵运行状况并按季节变化及时调整供水压力、投台数量、供应时间，每次调整前及时将调整方案报甲方经批准后方可实施。各项工作必须认真做好记录。</w:t>
      </w:r>
      <w:r>
        <w:rPr>
          <w:rFonts w:hint="eastAsia" w:ascii="仿宋" w:hAnsi="仿宋" w:eastAsia="仿宋" w:cs="仿宋"/>
          <w:bCs/>
          <w:color w:val="auto"/>
          <w:sz w:val="24"/>
          <w:szCs w:val="24"/>
          <w:highlight w:val="none"/>
          <w:lang w:val="en-US" w:eastAsia="zh-CN"/>
        </w:rPr>
        <w:t xml:space="preserve"> </w:t>
      </w:r>
    </w:p>
    <w:p w14:paraId="63D7AAAC">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7）</w:t>
      </w:r>
      <w:r>
        <w:rPr>
          <w:rFonts w:hint="eastAsia" w:ascii="仿宋" w:hAnsi="仿宋" w:eastAsia="仿宋" w:cs="仿宋"/>
          <w:bCs/>
          <w:color w:val="auto"/>
          <w:sz w:val="24"/>
          <w:szCs w:val="24"/>
          <w:highlight w:val="none"/>
        </w:rPr>
        <w:t>二次供水泵房水池寒署假进行消毒清洗，清洗要有健康证人员操作，开学前邀请市卫生监督部门进行水样检测合格后方能使用。停台的水泵要进行检修保养备用。</w:t>
      </w:r>
    </w:p>
    <w:p w14:paraId="5EC4D8B2">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8）</w:t>
      </w:r>
      <w:r>
        <w:rPr>
          <w:rFonts w:hint="eastAsia" w:ascii="仿宋" w:hAnsi="仿宋" w:eastAsia="仿宋" w:cs="仿宋"/>
          <w:bCs/>
          <w:color w:val="auto"/>
          <w:sz w:val="24"/>
          <w:szCs w:val="24"/>
          <w:highlight w:val="none"/>
        </w:rPr>
        <w:t>各高低压配电室、光伏电站、二次泵站禁止非工作人员进入。经常打扫室内外卫生，保证室内干净、整洁、无灰尘、无蜘蛛网、无小动物进入。禁止摆放任何杂物，消防器材放置在有利于防火施救位置。</w:t>
      </w:r>
    </w:p>
    <w:p w14:paraId="4D6742EE">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9）</w:t>
      </w:r>
      <w:r>
        <w:rPr>
          <w:rFonts w:hint="eastAsia" w:ascii="仿宋" w:hAnsi="仿宋" w:eastAsia="仿宋" w:cs="仿宋"/>
          <w:bCs/>
          <w:color w:val="auto"/>
          <w:sz w:val="24"/>
          <w:szCs w:val="24"/>
          <w:highlight w:val="none"/>
        </w:rPr>
        <w:t>与供电供水部门加强联系，了解停电停水信息及时向师生发布。</w:t>
      </w:r>
    </w:p>
    <w:p w14:paraId="688E254E">
      <w:pPr>
        <w:kinsoku/>
        <w:wordWrap/>
        <w:overflowPunct/>
        <w:topLinePunct w:val="0"/>
        <w:autoSpaceDE/>
        <w:autoSpaceDN/>
        <w:bidi w:val="0"/>
        <w:adjustRightInd/>
        <w:snapToGrid/>
        <w:spacing w:before="120" w:beforeLines="50" w:line="360" w:lineRule="auto"/>
        <w:ind w:firstLine="0" w:firstLineChars="0"/>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10）</w:t>
      </w:r>
      <w:r>
        <w:rPr>
          <w:rFonts w:hint="eastAsia" w:ascii="仿宋" w:hAnsi="仿宋" w:eastAsia="仿宋" w:cs="仿宋"/>
          <w:bCs/>
          <w:color w:val="auto"/>
          <w:sz w:val="24"/>
          <w:szCs w:val="24"/>
          <w:highlight w:val="none"/>
        </w:rPr>
        <w:t>禁止出现人为大面积停电停水事故，如有，必须第一时间组织抢修并向甲方报告，事故由甲方负责调查，属乙方责任的扣除当月相应物管费。</w:t>
      </w:r>
    </w:p>
    <w:p w14:paraId="3337F112">
      <w:pPr>
        <w:keepNext w:val="0"/>
        <w:keepLines w:val="0"/>
        <w:pageBreakBefore w:val="0"/>
        <w:widowControl/>
        <w:kinsoku/>
        <w:wordWrap/>
        <w:overflowPunct/>
        <w:topLinePunct w:val="0"/>
        <w:autoSpaceDE/>
        <w:autoSpaceDN/>
        <w:bidi w:val="0"/>
        <w:adjustRightInd/>
        <w:snapToGrid/>
        <w:spacing w:before="120" w:beforeLines="50" w:beforeAutospacing="0" w:after="0" w:afterLines="0" w:afterAutospacing="0" w:line="360" w:lineRule="auto"/>
        <w:ind w:firstLine="0" w:firstLineChars="0"/>
        <w:textAlignment w:val="auto"/>
        <w:rPr>
          <w:rFonts w:hint="eastAsia" w:ascii="仿宋" w:hAnsi="仿宋" w:eastAsia="仿宋" w:cs="仿宋"/>
          <w:bCs/>
          <w:color w:val="auto"/>
          <w:sz w:val="24"/>
          <w:szCs w:val="24"/>
          <w:highlight w:val="none"/>
        </w:rPr>
        <w:sectPr>
          <w:headerReference r:id="rId3" w:type="default"/>
          <w:footerReference r:id="rId4" w:type="default"/>
          <w:pgSz w:w="11906" w:h="16838"/>
          <w:pgMar w:top="1417" w:right="1587" w:bottom="1417" w:left="1587" w:header="851" w:footer="992" w:gutter="0"/>
          <w:cols w:space="720" w:num="1"/>
          <w:docGrid w:type="lines" w:linePitch="312" w:charSpace="0"/>
        </w:sectPr>
      </w:pPr>
    </w:p>
    <w:p w14:paraId="49A319F2">
      <w:pPr>
        <w:widowControl/>
        <w:spacing w:line="240" w:lineRule="auto"/>
        <w:jc w:val="left"/>
        <w:rPr>
          <w:rFonts w:hint="eastAsia" w:ascii="仿宋" w:hAnsi="仿宋" w:eastAsia="仿宋" w:cs="仿宋"/>
          <w:b/>
          <w:color w:val="auto"/>
          <w:sz w:val="24"/>
          <w:highlight w:val="none"/>
        </w:rPr>
      </w:pPr>
      <w:r>
        <w:rPr>
          <w:rFonts w:hint="eastAsia" w:ascii="仿宋" w:hAnsi="仿宋" w:eastAsia="仿宋" w:cs="仿宋"/>
          <w:b/>
          <w:color w:val="auto"/>
          <w:sz w:val="24"/>
          <w:highlight w:val="none"/>
        </w:rPr>
        <w:t>附件</w:t>
      </w:r>
      <w:r>
        <w:rPr>
          <w:rFonts w:hint="eastAsia" w:ascii="仿宋" w:hAnsi="仿宋" w:eastAsia="仿宋" w:cs="仿宋"/>
          <w:b/>
          <w:color w:val="auto"/>
          <w:sz w:val="24"/>
          <w:highlight w:val="none"/>
          <w:lang w:val="en-US" w:eastAsia="zh-CN"/>
        </w:rPr>
        <w:t>2</w:t>
      </w:r>
      <w:r>
        <w:rPr>
          <w:rFonts w:hint="eastAsia" w:ascii="仿宋" w:hAnsi="仿宋" w:eastAsia="仿宋" w:cs="仿宋"/>
          <w:b/>
          <w:color w:val="auto"/>
          <w:sz w:val="24"/>
          <w:highlight w:val="none"/>
        </w:rPr>
        <w:t>：南昌应用技术师范学院</w:t>
      </w:r>
      <w:r>
        <w:rPr>
          <w:rFonts w:hint="eastAsia" w:ascii="仿宋" w:hAnsi="仿宋" w:eastAsia="仿宋" w:cs="仿宋"/>
          <w:b/>
          <w:color w:val="auto"/>
          <w:sz w:val="24"/>
          <w:highlight w:val="none"/>
          <w:lang w:eastAsia="zh-CN"/>
        </w:rPr>
        <w:t>工程维修设备维护维保</w:t>
      </w:r>
      <w:r>
        <w:rPr>
          <w:rFonts w:hint="eastAsia" w:ascii="仿宋" w:hAnsi="仿宋" w:eastAsia="仿宋" w:cs="仿宋"/>
          <w:b/>
          <w:color w:val="auto"/>
          <w:sz w:val="24"/>
          <w:highlight w:val="none"/>
        </w:rPr>
        <w:t>管理监管考评标准</w:t>
      </w:r>
    </w:p>
    <w:p w14:paraId="6D0503EC">
      <w:pPr>
        <w:widowControl/>
        <w:spacing w:line="240" w:lineRule="auto"/>
        <w:jc w:val="left"/>
        <w:rPr>
          <w:rFonts w:hint="eastAsia" w:ascii="仿宋" w:hAnsi="仿宋" w:eastAsia="仿宋" w:cs="仿宋"/>
          <w:b/>
          <w:color w:val="auto"/>
          <w:sz w:val="24"/>
          <w:highlight w:val="none"/>
        </w:rPr>
      </w:pPr>
    </w:p>
    <w:p w14:paraId="02075EDD">
      <w:pPr>
        <w:widowControl/>
        <w:spacing w:line="240" w:lineRule="auto"/>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南昌应用技术师范学院</w:t>
      </w:r>
      <w:r>
        <w:rPr>
          <w:rFonts w:hint="eastAsia" w:ascii="仿宋" w:hAnsi="仿宋" w:eastAsia="仿宋" w:cs="仿宋"/>
          <w:b/>
          <w:color w:val="auto"/>
          <w:sz w:val="24"/>
          <w:highlight w:val="none"/>
          <w:lang w:eastAsia="zh-CN"/>
        </w:rPr>
        <w:t>工程维修设备维护维保</w:t>
      </w:r>
      <w:r>
        <w:rPr>
          <w:rFonts w:hint="eastAsia" w:ascii="仿宋" w:hAnsi="仿宋" w:eastAsia="仿宋" w:cs="仿宋"/>
          <w:b/>
          <w:color w:val="auto"/>
          <w:sz w:val="24"/>
          <w:highlight w:val="none"/>
        </w:rPr>
        <w:t>管理监管考评标准</w:t>
      </w:r>
    </w:p>
    <w:tbl>
      <w:tblPr>
        <w:tblStyle w:val="18"/>
        <w:tblW w:w="48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0"/>
        <w:gridCol w:w="3565"/>
        <w:gridCol w:w="769"/>
        <w:gridCol w:w="3503"/>
        <w:gridCol w:w="531"/>
        <w:gridCol w:w="179"/>
      </w:tblGrid>
      <w:tr w14:paraId="2D7EE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542" w:type="pct"/>
            <w:noWrap w:val="0"/>
            <w:vAlign w:val="center"/>
          </w:tcPr>
          <w:p w14:paraId="53B090F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区域</w:t>
            </w:r>
          </w:p>
        </w:tc>
        <w:tc>
          <w:tcPr>
            <w:tcW w:w="1858" w:type="pct"/>
            <w:noWrap w:val="0"/>
            <w:vAlign w:val="center"/>
          </w:tcPr>
          <w:p w14:paraId="354467E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标准内容</w:t>
            </w:r>
          </w:p>
        </w:tc>
        <w:tc>
          <w:tcPr>
            <w:tcW w:w="401" w:type="pct"/>
            <w:noWrap w:val="0"/>
            <w:vAlign w:val="center"/>
          </w:tcPr>
          <w:p w14:paraId="440BFA2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分值</w:t>
            </w:r>
          </w:p>
        </w:tc>
        <w:tc>
          <w:tcPr>
            <w:tcW w:w="1826" w:type="pct"/>
            <w:noWrap w:val="0"/>
            <w:vAlign w:val="center"/>
          </w:tcPr>
          <w:p w14:paraId="259F6DD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监管评分参与</w:t>
            </w:r>
          </w:p>
        </w:tc>
        <w:tc>
          <w:tcPr>
            <w:tcW w:w="370" w:type="pct"/>
            <w:gridSpan w:val="2"/>
            <w:noWrap w:val="0"/>
            <w:vAlign w:val="center"/>
          </w:tcPr>
          <w:p w14:paraId="26555F28">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考核分值</w:t>
            </w:r>
          </w:p>
        </w:tc>
      </w:tr>
      <w:tr w14:paraId="3B166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1" w:hRule="atLeast"/>
          <w:jc w:val="center"/>
        </w:trPr>
        <w:tc>
          <w:tcPr>
            <w:tcW w:w="542" w:type="pct"/>
            <w:vMerge w:val="restart"/>
            <w:noWrap w:val="0"/>
            <w:vAlign w:val="center"/>
          </w:tcPr>
          <w:p w14:paraId="412A3AD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p w14:paraId="029D74F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p w14:paraId="7F9D497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p w14:paraId="4308FE1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p w14:paraId="549EDD0A">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（一）</w:t>
            </w:r>
          </w:p>
          <w:p w14:paraId="2D1340A6">
            <w:pPr>
              <w:kinsoku/>
              <w:wordWrap/>
              <w:overflowPunct/>
              <w:topLinePunct w:val="0"/>
              <w:autoSpaceDE/>
              <w:autoSpaceDN/>
              <w:bidi w:val="0"/>
              <w:adjustRightInd/>
              <w:snapToGrid/>
              <w:spacing w:line="360" w:lineRule="auto"/>
              <w:ind w:left="210" w:leftChars="100" w:firstLine="0" w:firstLineChars="0"/>
              <w:jc w:val="both"/>
              <w:textAlignment w:val="auto"/>
              <w:rPr>
                <w:rFonts w:hint="default" w:ascii="仿宋" w:hAnsi="仿宋" w:eastAsia="仿宋" w:cs="仿宋"/>
                <w:color w:val="auto"/>
                <w:szCs w:val="21"/>
                <w:highlight w:val="none"/>
                <w:lang w:val="en-US" w:eastAsia="zh-CN"/>
              </w:rPr>
            </w:pPr>
            <w:r>
              <w:rPr>
                <w:rFonts w:hint="eastAsia" w:ascii="仿宋" w:hAnsi="仿宋" w:eastAsia="仿宋" w:cs="仿宋"/>
                <w:color w:val="auto"/>
                <w:szCs w:val="21"/>
                <w:highlight w:val="none"/>
                <w:lang w:val="en-US" w:eastAsia="zh-CN"/>
              </w:rPr>
              <w:t>基    础     管     理</w:t>
            </w:r>
          </w:p>
          <w:p w14:paraId="65BE6C0C">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 w:val="18"/>
                <w:szCs w:val="18"/>
                <w:highlight w:val="none"/>
              </w:rPr>
              <w:t>（</w:t>
            </w:r>
            <w:r>
              <w:rPr>
                <w:rFonts w:hint="eastAsia" w:ascii="仿宋" w:hAnsi="仿宋" w:eastAsia="仿宋" w:cs="仿宋"/>
                <w:color w:val="auto"/>
                <w:sz w:val="18"/>
                <w:szCs w:val="18"/>
                <w:highlight w:val="none"/>
                <w:lang w:val="en-US" w:eastAsia="zh-CN"/>
              </w:rPr>
              <w:t>45</w:t>
            </w:r>
            <w:r>
              <w:rPr>
                <w:rFonts w:hint="eastAsia" w:ascii="仿宋" w:hAnsi="仿宋" w:eastAsia="仿宋" w:cs="仿宋"/>
                <w:color w:val="auto"/>
                <w:sz w:val="18"/>
                <w:szCs w:val="18"/>
                <w:highlight w:val="none"/>
              </w:rPr>
              <w:t>分）</w:t>
            </w:r>
          </w:p>
        </w:tc>
        <w:tc>
          <w:tcPr>
            <w:tcW w:w="1858" w:type="pct"/>
            <w:noWrap w:val="0"/>
            <w:tcMar>
              <w:top w:w="113" w:type="dxa"/>
              <w:left w:w="108" w:type="dxa"/>
              <w:bottom w:w="113" w:type="dxa"/>
              <w:right w:w="108" w:type="dxa"/>
            </w:tcMar>
            <w:vAlign w:val="center"/>
          </w:tcPr>
          <w:p w14:paraId="2E28D1B8">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1、</w:t>
            </w:r>
            <w:r>
              <w:rPr>
                <w:rFonts w:hint="eastAsia" w:ascii="仿宋" w:hAnsi="仿宋" w:eastAsia="仿宋" w:cs="仿宋"/>
                <w:color w:val="auto"/>
                <w:sz w:val="18"/>
                <w:szCs w:val="18"/>
                <w:highlight w:val="none"/>
                <w:lang w:eastAsia="zh-CN"/>
              </w:rPr>
              <w:t>工程维修设备维护维保</w:t>
            </w:r>
            <w:r>
              <w:rPr>
                <w:rFonts w:hint="eastAsia" w:ascii="仿宋" w:hAnsi="仿宋" w:eastAsia="仿宋" w:cs="仿宋"/>
                <w:color w:val="auto"/>
                <w:sz w:val="18"/>
                <w:szCs w:val="18"/>
                <w:highlight w:val="none"/>
              </w:rPr>
              <w:t>公司制定有详细的</w:t>
            </w:r>
            <w:r>
              <w:rPr>
                <w:rFonts w:hint="eastAsia" w:ascii="仿宋" w:hAnsi="仿宋" w:eastAsia="仿宋" w:cs="仿宋"/>
                <w:color w:val="auto"/>
                <w:sz w:val="18"/>
                <w:szCs w:val="18"/>
                <w:highlight w:val="none"/>
                <w:lang w:eastAsia="zh-CN"/>
              </w:rPr>
              <w:t>工程维修设备维护维保</w:t>
            </w:r>
            <w:r>
              <w:rPr>
                <w:rFonts w:hint="eastAsia" w:ascii="仿宋" w:hAnsi="仿宋" w:eastAsia="仿宋" w:cs="仿宋"/>
                <w:color w:val="auto"/>
                <w:sz w:val="18"/>
                <w:szCs w:val="18"/>
                <w:highlight w:val="none"/>
              </w:rPr>
              <w:t>管理实施方案和创优计划。</w:t>
            </w:r>
          </w:p>
        </w:tc>
        <w:tc>
          <w:tcPr>
            <w:tcW w:w="401" w:type="pct"/>
            <w:noWrap w:val="0"/>
            <w:tcMar>
              <w:top w:w="113" w:type="dxa"/>
              <w:left w:w="108" w:type="dxa"/>
              <w:bottom w:w="113" w:type="dxa"/>
              <w:right w:w="108" w:type="dxa"/>
            </w:tcMar>
            <w:vAlign w:val="center"/>
          </w:tcPr>
          <w:p w14:paraId="71404D0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6</w:t>
            </w:r>
            <w:r>
              <w:rPr>
                <w:rFonts w:hint="eastAsia" w:ascii="仿宋" w:hAnsi="仿宋" w:eastAsia="仿宋" w:cs="仿宋"/>
                <w:color w:val="auto"/>
                <w:sz w:val="18"/>
                <w:szCs w:val="18"/>
                <w:highlight w:val="none"/>
              </w:rPr>
              <w:t>分</w:t>
            </w:r>
          </w:p>
        </w:tc>
        <w:tc>
          <w:tcPr>
            <w:tcW w:w="1826" w:type="pct"/>
            <w:noWrap w:val="0"/>
            <w:tcMar>
              <w:top w:w="113" w:type="dxa"/>
              <w:left w:w="108" w:type="dxa"/>
              <w:bottom w:w="113" w:type="dxa"/>
              <w:right w:w="108" w:type="dxa"/>
            </w:tcMar>
            <w:vAlign w:val="center"/>
          </w:tcPr>
          <w:p w14:paraId="4A7B65B9">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没有方案和计划扣0.</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分，不符合要求扣0.1分</w:t>
            </w:r>
          </w:p>
        </w:tc>
        <w:tc>
          <w:tcPr>
            <w:tcW w:w="370" w:type="pct"/>
            <w:gridSpan w:val="2"/>
            <w:noWrap w:val="0"/>
            <w:vAlign w:val="center"/>
          </w:tcPr>
          <w:p w14:paraId="3D98D111">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198DC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pct"/>
            <w:vMerge w:val="continue"/>
            <w:noWrap w:val="0"/>
            <w:vAlign w:val="center"/>
          </w:tcPr>
          <w:p w14:paraId="3923BB9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58" w:type="pct"/>
            <w:noWrap w:val="0"/>
            <w:tcMar>
              <w:top w:w="113" w:type="dxa"/>
              <w:left w:w="108" w:type="dxa"/>
              <w:bottom w:w="113" w:type="dxa"/>
              <w:right w:w="108" w:type="dxa"/>
            </w:tcMar>
            <w:vAlign w:val="center"/>
          </w:tcPr>
          <w:p w14:paraId="0ABFF19C">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2、建立健全各项管理制度和各岗位工作标准，并制定具体的落实措施和考核办法。</w:t>
            </w:r>
          </w:p>
        </w:tc>
        <w:tc>
          <w:tcPr>
            <w:tcW w:w="401" w:type="pct"/>
            <w:noWrap w:val="0"/>
            <w:tcMar>
              <w:top w:w="113" w:type="dxa"/>
              <w:left w:w="108" w:type="dxa"/>
              <w:bottom w:w="113" w:type="dxa"/>
              <w:right w:w="108" w:type="dxa"/>
            </w:tcMar>
            <w:vAlign w:val="center"/>
          </w:tcPr>
          <w:p w14:paraId="33CF5D6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6</w:t>
            </w:r>
            <w:r>
              <w:rPr>
                <w:rFonts w:hint="eastAsia" w:ascii="仿宋" w:hAnsi="仿宋" w:eastAsia="仿宋" w:cs="仿宋"/>
                <w:color w:val="auto"/>
                <w:sz w:val="18"/>
                <w:szCs w:val="18"/>
                <w:highlight w:val="none"/>
              </w:rPr>
              <w:t>分</w:t>
            </w:r>
          </w:p>
        </w:tc>
        <w:tc>
          <w:tcPr>
            <w:tcW w:w="1826" w:type="pct"/>
            <w:noWrap w:val="0"/>
            <w:tcMar>
              <w:top w:w="113" w:type="dxa"/>
              <w:left w:w="108" w:type="dxa"/>
              <w:bottom w:w="113" w:type="dxa"/>
              <w:right w:w="108" w:type="dxa"/>
            </w:tcMar>
            <w:vAlign w:val="center"/>
          </w:tcPr>
          <w:p w14:paraId="02DC36B1">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没有建立，扣0.</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w:t>
            </w:r>
            <w:r>
              <w:rPr>
                <w:rFonts w:hint="eastAsia" w:ascii="仿宋" w:hAnsi="仿宋" w:eastAsia="仿宋" w:cs="仿宋"/>
                <w:color w:val="auto"/>
                <w:sz w:val="18"/>
                <w:szCs w:val="18"/>
                <w:highlight w:val="none"/>
                <w:lang w:eastAsia="zh-CN"/>
              </w:rPr>
              <w:t>工程维修设备维护维保</w:t>
            </w:r>
            <w:r>
              <w:rPr>
                <w:rFonts w:hint="eastAsia" w:ascii="仿宋" w:hAnsi="仿宋" w:eastAsia="仿宋" w:cs="仿宋"/>
                <w:color w:val="auto"/>
                <w:sz w:val="18"/>
                <w:szCs w:val="18"/>
                <w:highlight w:val="none"/>
              </w:rPr>
              <w:t>管理服务工作程序、质量保证制度，岗位考核制度等，每发现一处不完整、不规范扣0.1分，未制订具体措施扣0.1分，未制订考核办法扣0.</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w:t>
            </w:r>
          </w:p>
        </w:tc>
        <w:tc>
          <w:tcPr>
            <w:tcW w:w="370" w:type="pct"/>
            <w:gridSpan w:val="2"/>
            <w:noWrap w:val="0"/>
            <w:vAlign w:val="center"/>
          </w:tcPr>
          <w:p w14:paraId="4064B4B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246A8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pct"/>
            <w:vMerge w:val="continue"/>
            <w:noWrap w:val="0"/>
            <w:vAlign w:val="center"/>
          </w:tcPr>
          <w:p w14:paraId="3431F3E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58" w:type="pct"/>
            <w:noWrap w:val="0"/>
            <w:tcMar>
              <w:top w:w="113" w:type="dxa"/>
              <w:left w:w="108" w:type="dxa"/>
              <w:bottom w:w="113" w:type="dxa"/>
              <w:right w:w="108" w:type="dxa"/>
            </w:tcMar>
            <w:vAlign w:val="center"/>
          </w:tcPr>
          <w:p w14:paraId="387573A7">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3、</w:t>
            </w:r>
            <w:r>
              <w:rPr>
                <w:rFonts w:hint="eastAsia" w:ascii="仿宋" w:hAnsi="仿宋" w:eastAsia="仿宋" w:cs="仿宋"/>
                <w:color w:val="auto"/>
                <w:sz w:val="18"/>
                <w:szCs w:val="18"/>
                <w:highlight w:val="none"/>
                <w:lang w:eastAsia="zh-CN"/>
              </w:rPr>
              <w:t>工程维修设备维护维保</w:t>
            </w:r>
            <w:r>
              <w:rPr>
                <w:rFonts w:hint="eastAsia" w:ascii="仿宋" w:hAnsi="仿宋" w:eastAsia="仿宋" w:cs="仿宋"/>
                <w:color w:val="auto"/>
                <w:sz w:val="18"/>
                <w:szCs w:val="18"/>
                <w:highlight w:val="none"/>
              </w:rPr>
              <w:t>公司管理人员和专业技术人员持证上岗，员工统一服装，佩戴明显标志，工作规范，作风严谨。</w:t>
            </w:r>
          </w:p>
        </w:tc>
        <w:tc>
          <w:tcPr>
            <w:tcW w:w="401" w:type="pct"/>
            <w:noWrap w:val="0"/>
            <w:tcMar>
              <w:top w:w="113" w:type="dxa"/>
              <w:left w:w="108" w:type="dxa"/>
              <w:bottom w:w="113" w:type="dxa"/>
              <w:right w:w="108" w:type="dxa"/>
            </w:tcMar>
            <w:vAlign w:val="center"/>
          </w:tcPr>
          <w:p w14:paraId="416A03E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6</w:t>
            </w:r>
            <w:r>
              <w:rPr>
                <w:rFonts w:hint="eastAsia" w:ascii="仿宋" w:hAnsi="仿宋" w:eastAsia="仿宋" w:cs="仿宋"/>
                <w:color w:val="auto"/>
                <w:sz w:val="18"/>
                <w:szCs w:val="18"/>
                <w:highlight w:val="none"/>
              </w:rPr>
              <w:t>分</w:t>
            </w:r>
          </w:p>
        </w:tc>
        <w:tc>
          <w:tcPr>
            <w:tcW w:w="1826" w:type="pct"/>
            <w:noWrap w:val="0"/>
            <w:tcMar>
              <w:top w:w="113" w:type="dxa"/>
              <w:left w:w="108" w:type="dxa"/>
              <w:bottom w:w="113" w:type="dxa"/>
              <w:right w:w="108" w:type="dxa"/>
            </w:tcMar>
            <w:vAlign w:val="center"/>
          </w:tcPr>
          <w:p w14:paraId="6925519C">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每发现1人无上岗证扣0.</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分。着装及标志一项不符合扣0.</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w:t>
            </w:r>
          </w:p>
        </w:tc>
        <w:tc>
          <w:tcPr>
            <w:tcW w:w="370" w:type="pct"/>
            <w:gridSpan w:val="2"/>
            <w:noWrap w:val="0"/>
            <w:vAlign w:val="center"/>
          </w:tcPr>
          <w:p w14:paraId="19B4E75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6E268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pct"/>
            <w:vMerge w:val="continue"/>
            <w:noWrap w:val="0"/>
            <w:vAlign w:val="center"/>
          </w:tcPr>
          <w:p w14:paraId="0A616C14">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58" w:type="pct"/>
            <w:noWrap w:val="0"/>
            <w:tcMar>
              <w:top w:w="113" w:type="dxa"/>
              <w:left w:w="108" w:type="dxa"/>
              <w:bottom w:w="113" w:type="dxa"/>
              <w:right w:w="108" w:type="dxa"/>
            </w:tcMar>
            <w:vAlign w:val="center"/>
          </w:tcPr>
          <w:p w14:paraId="78FD4F00">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4、</w:t>
            </w:r>
            <w:r>
              <w:rPr>
                <w:rFonts w:hint="eastAsia" w:ascii="仿宋" w:hAnsi="仿宋" w:eastAsia="仿宋" w:cs="仿宋"/>
                <w:color w:val="auto"/>
                <w:sz w:val="18"/>
                <w:szCs w:val="18"/>
                <w:highlight w:val="none"/>
                <w:lang w:eastAsia="zh-CN"/>
              </w:rPr>
              <w:t>工程维修设备维护维保</w:t>
            </w:r>
            <w:r>
              <w:rPr>
                <w:rFonts w:hint="eastAsia" w:ascii="仿宋" w:hAnsi="仿宋" w:eastAsia="仿宋" w:cs="仿宋"/>
                <w:color w:val="auto"/>
                <w:sz w:val="18"/>
                <w:szCs w:val="18"/>
                <w:highlight w:val="none"/>
              </w:rPr>
              <w:t>公司在收费、财务管理、会计算、税收；依据劳动合同法录用员工等方面执行有关规定。</w:t>
            </w:r>
          </w:p>
        </w:tc>
        <w:tc>
          <w:tcPr>
            <w:tcW w:w="401" w:type="pct"/>
            <w:noWrap w:val="0"/>
            <w:tcMar>
              <w:top w:w="113" w:type="dxa"/>
              <w:left w:w="108" w:type="dxa"/>
              <w:bottom w:w="113" w:type="dxa"/>
              <w:right w:w="108" w:type="dxa"/>
            </w:tcMar>
            <w:vAlign w:val="center"/>
          </w:tcPr>
          <w:p w14:paraId="77003E50">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6</w:t>
            </w:r>
            <w:r>
              <w:rPr>
                <w:rFonts w:hint="eastAsia" w:ascii="仿宋" w:hAnsi="仿宋" w:eastAsia="仿宋" w:cs="仿宋"/>
                <w:color w:val="auto"/>
                <w:sz w:val="18"/>
                <w:szCs w:val="18"/>
                <w:highlight w:val="none"/>
              </w:rPr>
              <w:t>分</w:t>
            </w:r>
          </w:p>
        </w:tc>
        <w:tc>
          <w:tcPr>
            <w:tcW w:w="1826" w:type="pct"/>
            <w:noWrap w:val="0"/>
            <w:tcMar>
              <w:top w:w="113" w:type="dxa"/>
              <w:left w:w="108" w:type="dxa"/>
              <w:bottom w:w="113" w:type="dxa"/>
              <w:right w:w="108" w:type="dxa"/>
            </w:tcMar>
            <w:vAlign w:val="center"/>
          </w:tcPr>
          <w:p w14:paraId="45C2C78B">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未执行扣0.</w:t>
            </w: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w:t>
            </w:r>
          </w:p>
        </w:tc>
        <w:tc>
          <w:tcPr>
            <w:tcW w:w="370" w:type="pct"/>
            <w:gridSpan w:val="2"/>
            <w:noWrap w:val="0"/>
            <w:vAlign w:val="center"/>
          </w:tcPr>
          <w:p w14:paraId="20613091">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1E91E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pct"/>
            <w:vMerge w:val="continue"/>
            <w:noWrap w:val="0"/>
            <w:vAlign w:val="center"/>
          </w:tcPr>
          <w:p w14:paraId="530FA9AD">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58" w:type="pct"/>
            <w:noWrap w:val="0"/>
            <w:tcMar>
              <w:top w:w="113" w:type="dxa"/>
              <w:left w:w="108" w:type="dxa"/>
              <w:bottom w:w="113" w:type="dxa"/>
              <w:right w:w="108" w:type="dxa"/>
            </w:tcMar>
            <w:vAlign w:val="center"/>
          </w:tcPr>
          <w:p w14:paraId="61D40826">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5、管理处组织机构健全，所有人员身体健康、形象良好，以教育教学为中心，自觉遵守学校各项制度。</w:t>
            </w:r>
          </w:p>
        </w:tc>
        <w:tc>
          <w:tcPr>
            <w:tcW w:w="401" w:type="pct"/>
            <w:noWrap w:val="0"/>
            <w:tcMar>
              <w:top w:w="113" w:type="dxa"/>
              <w:left w:w="108" w:type="dxa"/>
              <w:bottom w:w="113" w:type="dxa"/>
              <w:right w:w="108" w:type="dxa"/>
            </w:tcMar>
            <w:vAlign w:val="center"/>
          </w:tcPr>
          <w:p w14:paraId="6A05625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6</w:t>
            </w:r>
            <w:r>
              <w:rPr>
                <w:rFonts w:hint="eastAsia" w:ascii="仿宋" w:hAnsi="仿宋" w:eastAsia="仿宋" w:cs="仿宋"/>
                <w:color w:val="auto"/>
                <w:sz w:val="18"/>
                <w:szCs w:val="18"/>
                <w:highlight w:val="none"/>
              </w:rPr>
              <w:t>分</w:t>
            </w:r>
          </w:p>
        </w:tc>
        <w:tc>
          <w:tcPr>
            <w:tcW w:w="1826" w:type="pct"/>
            <w:noWrap w:val="0"/>
            <w:tcMar>
              <w:top w:w="113" w:type="dxa"/>
              <w:left w:w="108" w:type="dxa"/>
              <w:bottom w:w="113" w:type="dxa"/>
              <w:right w:w="108" w:type="dxa"/>
            </w:tcMar>
            <w:vAlign w:val="center"/>
          </w:tcPr>
          <w:p w14:paraId="56790919">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组织不健全扣0.</w:t>
            </w:r>
            <w:ins w:id="1" w:author="旷野" w:date="2026-04-22T10:11:22Z">
              <w:r>
                <w:rPr>
                  <w:rFonts w:hint="eastAsia" w:ascii="仿宋" w:hAnsi="仿宋" w:eastAsia="仿宋" w:cs="仿宋"/>
                  <w:color w:val="auto"/>
                  <w:sz w:val="18"/>
                  <w:szCs w:val="18"/>
                  <w:highlight w:val="none"/>
                  <w:lang w:val="en-US" w:eastAsia="zh-CN"/>
                </w:rPr>
                <w:t>5</w:t>
              </w:r>
            </w:ins>
            <w:r>
              <w:rPr>
                <w:rFonts w:hint="eastAsia" w:ascii="仿宋" w:hAnsi="仿宋" w:eastAsia="仿宋" w:cs="仿宋"/>
                <w:color w:val="auto"/>
                <w:sz w:val="18"/>
                <w:szCs w:val="18"/>
                <w:highlight w:val="none"/>
              </w:rPr>
              <w:t>分，员工管理不到位扣0.1分。</w:t>
            </w:r>
          </w:p>
        </w:tc>
        <w:tc>
          <w:tcPr>
            <w:tcW w:w="370" w:type="pct"/>
            <w:gridSpan w:val="2"/>
            <w:noWrap w:val="0"/>
            <w:vAlign w:val="center"/>
          </w:tcPr>
          <w:p w14:paraId="749A622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310C2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pct"/>
            <w:vMerge w:val="continue"/>
            <w:noWrap w:val="0"/>
            <w:vAlign w:val="center"/>
          </w:tcPr>
          <w:p w14:paraId="3A047919">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58" w:type="pct"/>
            <w:noWrap w:val="0"/>
            <w:tcMar>
              <w:top w:w="113" w:type="dxa"/>
              <w:left w:w="108" w:type="dxa"/>
              <w:bottom w:w="113" w:type="dxa"/>
              <w:right w:w="108" w:type="dxa"/>
            </w:tcMar>
            <w:vAlign w:val="center"/>
          </w:tcPr>
          <w:p w14:paraId="020BC1BE">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6、及时与学校沟通，对校方安排的有关处理、联络、知会要及时跟踪、落实及反馈。</w:t>
            </w:r>
          </w:p>
        </w:tc>
        <w:tc>
          <w:tcPr>
            <w:tcW w:w="401" w:type="pct"/>
            <w:noWrap w:val="0"/>
            <w:tcMar>
              <w:top w:w="113" w:type="dxa"/>
              <w:left w:w="108" w:type="dxa"/>
              <w:bottom w:w="113" w:type="dxa"/>
              <w:right w:w="108" w:type="dxa"/>
            </w:tcMar>
            <w:vAlign w:val="center"/>
          </w:tcPr>
          <w:p w14:paraId="3C66F0B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w:t>
            </w:r>
          </w:p>
        </w:tc>
        <w:tc>
          <w:tcPr>
            <w:tcW w:w="1826" w:type="pct"/>
            <w:noWrap w:val="0"/>
            <w:tcMar>
              <w:top w:w="113" w:type="dxa"/>
              <w:left w:w="108" w:type="dxa"/>
              <w:bottom w:w="113" w:type="dxa"/>
              <w:right w:w="108" w:type="dxa"/>
            </w:tcMar>
            <w:vAlign w:val="center"/>
          </w:tcPr>
          <w:p w14:paraId="03C652DF">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遇重大问题不报告扣</w:t>
            </w: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分，因沟通原因影响工作扣0.1分，安排事项无反馈、无结果扣0.1分。</w:t>
            </w:r>
          </w:p>
        </w:tc>
        <w:tc>
          <w:tcPr>
            <w:tcW w:w="370" w:type="pct"/>
            <w:gridSpan w:val="2"/>
            <w:noWrap w:val="0"/>
            <w:vAlign w:val="center"/>
          </w:tcPr>
          <w:p w14:paraId="154B5CE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1378A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pct"/>
            <w:vMerge w:val="continue"/>
            <w:noWrap w:val="0"/>
            <w:vAlign w:val="center"/>
          </w:tcPr>
          <w:p w14:paraId="473ED146">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58" w:type="pct"/>
            <w:noWrap w:val="0"/>
            <w:tcMar>
              <w:top w:w="113" w:type="dxa"/>
              <w:left w:w="108" w:type="dxa"/>
              <w:bottom w:w="113" w:type="dxa"/>
              <w:right w:w="108" w:type="dxa"/>
            </w:tcMar>
            <w:vAlign w:val="center"/>
          </w:tcPr>
          <w:p w14:paraId="0D9A3B88">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7、耐心礼貌地接受师生的投诉、求助、建议、问询、质疑，及时处理，并做好记录。</w:t>
            </w:r>
          </w:p>
        </w:tc>
        <w:tc>
          <w:tcPr>
            <w:tcW w:w="401" w:type="pct"/>
            <w:noWrap w:val="0"/>
            <w:tcMar>
              <w:top w:w="113" w:type="dxa"/>
              <w:left w:w="108" w:type="dxa"/>
              <w:bottom w:w="113" w:type="dxa"/>
              <w:right w:w="108" w:type="dxa"/>
            </w:tcMar>
            <w:vAlign w:val="center"/>
          </w:tcPr>
          <w:p w14:paraId="668B2FEF">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w:t>
            </w:r>
          </w:p>
        </w:tc>
        <w:tc>
          <w:tcPr>
            <w:tcW w:w="1826" w:type="pct"/>
            <w:noWrap w:val="0"/>
            <w:tcMar>
              <w:top w:w="113" w:type="dxa"/>
              <w:left w:w="108" w:type="dxa"/>
              <w:bottom w:w="113" w:type="dxa"/>
              <w:right w:w="108" w:type="dxa"/>
            </w:tcMar>
            <w:vAlign w:val="center"/>
          </w:tcPr>
          <w:p w14:paraId="43100657">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无处理扣</w:t>
            </w: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分，无相关记录扣0.1分，无回访制度扣0.1分。因服务态度或工作不到位被投诉，经查实，一次扣0.1分。</w:t>
            </w:r>
          </w:p>
        </w:tc>
        <w:tc>
          <w:tcPr>
            <w:tcW w:w="370" w:type="pct"/>
            <w:gridSpan w:val="2"/>
            <w:noWrap w:val="0"/>
            <w:vAlign w:val="center"/>
          </w:tcPr>
          <w:p w14:paraId="4D84E37E">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681A9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542" w:type="pct"/>
            <w:vMerge w:val="continue"/>
            <w:noWrap w:val="0"/>
            <w:vAlign w:val="center"/>
          </w:tcPr>
          <w:p w14:paraId="416BC2D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c>
          <w:tcPr>
            <w:tcW w:w="1858" w:type="pct"/>
            <w:noWrap w:val="0"/>
            <w:tcMar>
              <w:top w:w="113" w:type="dxa"/>
              <w:left w:w="108" w:type="dxa"/>
              <w:bottom w:w="113" w:type="dxa"/>
              <w:right w:w="108" w:type="dxa"/>
            </w:tcMar>
            <w:vAlign w:val="center"/>
          </w:tcPr>
          <w:p w14:paraId="65548C73">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8、各类上墙标识齐全。</w:t>
            </w:r>
          </w:p>
        </w:tc>
        <w:tc>
          <w:tcPr>
            <w:tcW w:w="401" w:type="pct"/>
            <w:noWrap w:val="0"/>
            <w:tcMar>
              <w:top w:w="113" w:type="dxa"/>
              <w:left w:w="108" w:type="dxa"/>
              <w:bottom w:w="113" w:type="dxa"/>
              <w:right w:w="108" w:type="dxa"/>
            </w:tcMar>
            <w:vAlign w:val="center"/>
          </w:tcPr>
          <w:p w14:paraId="2338A84B">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lang w:val="en-US" w:eastAsia="zh-CN"/>
              </w:rPr>
              <w:t>5</w:t>
            </w:r>
            <w:r>
              <w:rPr>
                <w:rFonts w:hint="eastAsia" w:ascii="仿宋" w:hAnsi="仿宋" w:eastAsia="仿宋" w:cs="仿宋"/>
                <w:color w:val="auto"/>
                <w:sz w:val="18"/>
                <w:szCs w:val="18"/>
                <w:highlight w:val="none"/>
              </w:rPr>
              <w:t>分</w:t>
            </w:r>
          </w:p>
        </w:tc>
        <w:tc>
          <w:tcPr>
            <w:tcW w:w="1826" w:type="pct"/>
            <w:noWrap w:val="0"/>
            <w:tcMar>
              <w:top w:w="113" w:type="dxa"/>
              <w:left w:w="108" w:type="dxa"/>
              <w:bottom w:w="113" w:type="dxa"/>
              <w:right w:w="108" w:type="dxa"/>
            </w:tcMar>
            <w:vAlign w:val="center"/>
          </w:tcPr>
          <w:p w14:paraId="22938A74">
            <w:p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18"/>
                <w:szCs w:val="18"/>
                <w:highlight w:val="none"/>
              </w:rPr>
            </w:pPr>
            <w:r>
              <w:rPr>
                <w:rFonts w:hint="eastAsia" w:ascii="仿宋" w:hAnsi="仿宋" w:eastAsia="仿宋" w:cs="仿宋"/>
                <w:color w:val="auto"/>
                <w:sz w:val="18"/>
                <w:szCs w:val="18"/>
                <w:highlight w:val="none"/>
              </w:rPr>
              <w:t>无，扣</w:t>
            </w:r>
            <w:r>
              <w:rPr>
                <w:rFonts w:hint="eastAsia" w:ascii="仿宋" w:hAnsi="仿宋" w:eastAsia="仿宋" w:cs="仿宋"/>
                <w:color w:val="auto"/>
                <w:sz w:val="18"/>
                <w:szCs w:val="18"/>
                <w:highlight w:val="none"/>
                <w:lang w:val="en-US" w:eastAsia="zh-CN"/>
              </w:rPr>
              <w:t>0.5</w:t>
            </w:r>
            <w:r>
              <w:rPr>
                <w:rFonts w:hint="eastAsia" w:ascii="仿宋" w:hAnsi="仿宋" w:eastAsia="仿宋" w:cs="仿宋"/>
                <w:color w:val="auto"/>
                <w:sz w:val="18"/>
                <w:szCs w:val="18"/>
                <w:highlight w:val="none"/>
              </w:rPr>
              <w:t>分，不健全发现一处扣0.1分。</w:t>
            </w:r>
          </w:p>
        </w:tc>
        <w:tc>
          <w:tcPr>
            <w:tcW w:w="370" w:type="pct"/>
            <w:gridSpan w:val="2"/>
            <w:noWrap w:val="0"/>
            <w:vAlign w:val="center"/>
          </w:tcPr>
          <w:p w14:paraId="365BA483">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p>
        </w:tc>
      </w:tr>
      <w:tr w14:paraId="5746C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5000" w:type="pct"/>
            <w:gridSpan w:val="6"/>
            <w:noWrap w:val="0"/>
            <w:vAlign w:val="center"/>
          </w:tcPr>
          <w:p w14:paraId="76781A92">
            <w:p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单项合计：</w:t>
            </w:r>
          </w:p>
        </w:tc>
      </w:tr>
      <w:tr w14:paraId="12627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ins w:id="2" w:author="Worker." w:date="2025-11-10T14:44:00Z"/>
        </w:trPr>
        <w:tc>
          <w:tcPr>
            <w:tcW w:w="5000" w:type="pct"/>
            <w:gridSpan w:val="6"/>
            <w:noWrap w:val="0"/>
            <w:vAlign w:val="center"/>
          </w:tcPr>
          <w:p w14:paraId="6BA56B5F">
            <w:pPr>
              <w:kinsoku/>
              <w:wordWrap/>
              <w:overflowPunct/>
              <w:topLinePunct w:val="0"/>
              <w:autoSpaceDE/>
              <w:autoSpaceDN/>
              <w:bidi w:val="0"/>
              <w:adjustRightInd/>
              <w:snapToGrid/>
              <w:spacing w:line="360" w:lineRule="auto"/>
              <w:jc w:val="both"/>
              <w:textAlignment w:val="auto"/>
              <w:rPr>
                <w:ins w:id="3" w:author="Worker." w:date="2025-11-10T14:44:00Z"/>
                <w:rFonts w:hint="eastAsia" w:ascii="仿宋" w:hAnsi="仿宋" w:eastAsia="仿宋" w:cs="仿宋"/>
                <w:color w:val="auto"/>
                <w:szCs w:val="21"/>
                <w:highlight w:val="none"/>
              </w:rPr>
            </w:pPr>
          </w:p>
        </w:tc>
      </w:tr>
      <w:tr w14:paraId="6A1EC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5" w:type="dxa"/>
          <w:trHeight w:val="1113" w:hRule="atLeast"/>
          <w:jc w:val="center"/>
        </w:trPr>
        <w:tc>
          <w:tcPr>
            <w:tcW w:w="1064" w:type="dxa"/>
            <w:vMerge w:val="restart"/>
            <w:tcBorders>
              <w:top w:val="nil"/>
              <w:left w:val="single" w:color="000000" w:sz="8" w:space="0"/>
              <w:right w:val="single" w:color="000000" w:sz="8" w:space="0"/>
            </w:tcBorders>
            <w:noWrap w:val="0"/>
            <w:vAlign w:val="center"/>
          </w:tcPr>
          <w:p w14:paraId="076B24A0">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（二）</w:t>
            </w:r>
          </w:p>
          <w:p w14:paraId="57B574B9">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水     电       运     行     保      障     （55分）</w:t>
            </w:r>
          </w:p>
        </w:tc>
        <w:tc>
          <w:tcPr>
            <w:tcW w:w="3703" w:type="dxa"/>
            <w:tcBorders>
              <w:top w:val="nil"/>
              <w:left w:val="single" w:color="000000" w:sz="8" w:space="0"/>
              <w:bottom w:val="single" w:color="000000" w:sz="8" w:space="0"/>
              <w:right w:val="single" w:color="000000" w:sz="8" w:space="0"/>
            </w:tcBorders>
            <w:noWrap w:val="0"/>
            <w:vAlign w:val="center"/>
          </w:tcPr>
          <w:p w14:paraId="10314374">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1、严格执行水电维修管理制度；紧急维修不超过半小时，一般维修半个工作日内（当天）完成。（派单量在维修工当日值班人员工作能力范围内）</w:t>
            </w:r>
          </w:p>
        </w:tc>
        <w:tc>
          <w:tcPr>
            <w:tcW w:w="552" w:type="dxa"/>
            <w:tcBorders>
              <w:top w:val="nil"/>
              <w:left w:val="single" w:color="000000" w:sz="8" w:space="0"/>
              <w:bottom w:val="single" w:color="000000" w:sz="8" w:space="0"/>
              <w:right w:val="single" w:color="000000" w:sz="8" w:space="0"/>
            </w:tcBorders>
            <w:noWrap w:val="0"/>
            <w:vAlign w:val="center"/>
          </w:tcPr>
          <w:p w14:paraId="713548DA">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8分</w:t>
            </w:r>
          </w:p>
        </w:tc>
        <w:tc>
          <w:tcPr>
            <w:tcW w:w="2763" w:type="dxa"/>
            <w:tcBorders>
              <w:top w:val="nil"/>
              <w:left w:val="single" w:color="000000" w:sz="8" w:space="0"/>
              <w:bottom w:val="single" w:color="000000" w:sz="8" w:space="0"/>
              <w:right w:val="single" w:color="000000" w:sz="8" w:space="0"/>
            </w:tcBorders>
            <w:noWrap w:val="0"/>
            <w:vAlign w:val="center"/>
          </w:tcPr>
          <w:p w14:paraId="19B0969F">
            <w:pPr>
              <w:keepNext w:val="0"/>
              <w:keepLines w:val="0"/>
              <w:widowControl/>
              <w:suppressLineNumbers w:val="0"/>
              <w:jc w:val="both"/>
              <w:textAlignment w:val="center"/>
              <w:rPr>
                <w:rFonts w:hint="default" w:ascii="仿宋" w:hAnsi="仿宋" w:eastAsia="仿宋" w:cs="仿宋"/>
                <w:i w:val="0"/>
                <w:iCs w:val="0"/>
                <w:color w:val="auto"/>
                <w:sz w:val="18"/>
                <w:szCs w:val="18"/>
                <w:highlight w:val="none"/>
                <w:u w:val="none"/>
                <w:lang w:val="en-US"/>
              </w:rPr>
            </w:pPr>
            <w:r>
              <w:rPr>
                <w:rFonts w:hint="eastAsia" w:ascii="仿宋" w:hAnsi="仿宋" w:eastAsia="仿宋" w:cs="仿宋"/>
                <w:i w:val="0"/>
                <w:iCs w:val="0"/>
                <w:color w:val="auto"/>
                <w:kern w:val="0"/>
                <w:sz w:val="18"/>
                <w:szCs w:val="18"/>
                <w:highlight w:val="none"/>
                <w:u w:val="none"/>
                <w:lang w:val="en-US" w:eastAsia="zh-CN" w:bidi="ar"/>
              </w:rPr>
              <w:t>未落实每发生一起扣0.2分。因乙方原因发生一起学生投诉扣 0.1分。</w:t>
            </w:r>
          </w:p>
        </w:tc>
        <w:tc>
          <w:tcPr>
            <w:tcW w:w="1057" w:type="dxa"/>
            <w:tcBorders>
              <w:top w:val="nil"/>
              <w:left w:val="single" w:color="000000" w:sz="8" w:space="0"/>
              <w:bottom w:val="single" w:color="000000" w:sz="8" w:space="0"/>
              <w:right w:val="single" w:color="000000" w:sz="8" w:space="0"/>
            </w:tcBorders>
            <w:noWrap w:val="0"/>
            <w:vAlign w:val="center"/>
          </w:tcPr>
          <w:p w14:paraId="07DFF704">
            <w:pPr>
              <w:jc w:val="center"/>
              <w:rPr>
                <w:rFonts w:hint="eastAsia" w:ascii="仿宋" w:hAnsi="仿宋" w:eastAsia="仿宋" w:cs="仿宋"/>
                <w:i w:val="0"/>
                <w:iCs w:val="0"/>
                <w:color w:val="auto"/>
                <w:sz w:val="21"/>
                <w:szCs w:val="21"/>
                <w:highlight w:val="none"/>
                <w:u w:val="none"/>
              </w:rPr>
            </w:pPr>
          </w:p>
        </w:tc>
      </w:tr>
      <w:tr w14:paraId="30D6B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5" w:type="dxa"/>
          <w:trHeight w:val="1305" w:hRule="atLeast"/>
          <w:jc w:val="center"/>
        </w:trPr>
        <w:tc>
          <w:tcPr>
            <w:tcW w:w="1064" w:type="dxa"/>
            <w:vMerge w:val="continue"/>
            <w:tcBorders>
              <w:left w:val="single" w:color="000000" w:sz="8" w:space="0"/>
              <w:right w:val="single" w:color="000000" w:sz="8" w:space="0"/>
            </w:tcBorders>
            <w:noWrap w:val="0"/>
            <w:vAlign w:val="center"/>
          </w:tcPr>
          <w:p w14:paraId="237AAD41">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p>
        </w:tc>
        <w:tc>
          <w:tcPr>
            <w:tcW w:w="3703" w:type="dxa"/>
            <w:tcBorders>
              <w:top w:val="nil"/>
              <w:left w:val="single" w:color="000000" w:sz="8" w:space="0"/>
              <w:bottom w:val="single" w:color="000000" w:sz="8" w:space="0"/>
              <w:right w:val="single" w:color="000000" w:sz="8" w:space="0"/>
            </w:tcBorders>
            <w:noWrap w:val="0"/>
            <w:vAlign w:val="center"/>
          </w:tcPr>
          <w:p w14:paraId="48C8B5F1">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2、楼内水电设备设施完好率达到95％以上。</w:t>
            </w:r>
          </w:p>
        </w:tc>
        <w:tc>
          <w:tcPr>
            <w:tcW w:w="552" w:type="dxa"/>
            <w:tcBorders>
              <w:top w:val="nil"/>
              <w:left w:val="single" w:color="000000" w:sz="8" w:space="0"/>
              <w:bottom w:val="single" w:color="000000" w:sz="8" w:space="0"/>
              <w:right w:val="single" w:color="000000" w:sz="8" w:space="0"/>
            </w:tcBorders>
            <w:noWrap w:val="0"/>
            <w:vAlign w:val="center"/>
          </w:tcPr>
          <w:p w14:paraId="2373245F">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8分</w:t>
            </w:r>
          </w:p>
        </w:tc>
        <w:tc>
          <w:tcPr>
            <w:tcW w:w="2763" w:type="dxa"/>
            <w:tcBorders>
              <w:top w:val="nil"/>
              <w:left w:val="single" w:color="000000" w:sz="8" w:space="0"/>
              <w:bottom w:val="single" w:color="000000" w:sz="8" w:space="0"/>
              <w:right w:val="single" w:color="000000" w:sz="8" w:space="0"/>
            </w:tcBorders>
            <w:noWrap w:val="0"/>
            <w:vAlign w:val="center"/>
          </w:tcPr>
          <w:p w14:paraId="5EABB097">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完好率低于90%每1%扣0.2分。</w:t>
            </w:r>
          </w:p>
        </w:tc>
        <w:tc>
          <w:tcPr>
            <w:tcW w:w="1057" w:type="dxa"/>
            <w:tcBorders>
              <w:top w:val="nil"/>
              <w:left w:val="single" w:color="000000" w:sz="8" w:space="0"/>
              <w:bottom w:val="single" w:color="000000" w:sz="8" w:space="0"/>
              <w:right w:val="single" w:color="000000" w:sz="8" w:space="0"/>
            </w:tcBorders>
            <w:noWrap w:val="0"/>
            <w:vAlign w:val="center"/>
          </w:tcPr>
          <w:p w14:paraId="5775F52C">
            <w:pPr>
              <w:jc w:val="center"/>
              <w:rPr>
                <w:rFonts w:hint="eastAsia" w:ascii="仿宋" w:hAnsi="仿宋" w:eastAsia="仿宋" w:cs="仿宋"/>
                <w:i w:val="0"/>
                <w:iCs w:val="0"/>
                <w:color w:val="auto"/>
                <w:sz w:val="21"/>
                <w:szCs w:val="21"/>
                <w:highlight w:val="none"/>
                <w:u w:val="none"/>
              </w:rPr>
            </w:pPr>
          </w:p>
        </w:tc>
      </w:tr>
      <w:tr w14:paraId="200C3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5" w:type="dxa"/>
          <w:trHeight w:val="1250" w:hRule="atLeast"/>
          <w:jc w:val="center"/>
        </w:trPr>
        <w:tc>
          <w:tcPr>
            <w:tcW w:w="1064" w:type="dxa"/>
            <w:vMerge w:val="continue"/>
            <w:tcBorders>
              <w:left w:val="single" w:color="000000" w:sz="8" w:space="0"/>
              <w:right w:val="single" w:color="000000" w:sz="8" w:space="0"/>
            </w:tcBorders>
            <w:noWrap/>
            <w:vAlign w:val="center"/>
          </w:tcPr>
          <w:p w14:paraId="311A4BF0">
            <w:pPr>
              <w:rPr>
                <w:rFonts w:hint="eastAsia" w:ascii="宋体" w:hAnsi="宋体" w:eastAsia="宋体" w:cs="宋体"/>
                <w:i w:val="0"/>
                <w:iCs w:val="0"/>
                <w:color w:val="auto"/>
                <w:sz w:val="22"/>
                <w:szCs w:val="22"/>
                <w:highlight w:val="none"/>
                <w:u w:val="none"/>
              </w:rPr>
            </w:pPr>
          </w:p>
        </w:tc>
        <w:tc>
          <w:tcPr>
            <w:tcW w:w="3703" w:type="dxa"/>
            <w:tcBorders>
              <w:top w:val="nil"/>
              <w:left w:val="single" w:color="000000" w:sz="8" w:space="0"/>
              <w:bottom w:val="single" w:color="000000" w:sz="8" w:space="0"/>
              <w:right w:val="single" w:color="000000" w:sz="8" w:space="0"/>
            </w:tcBorders>
            <w:noWrap w:val="0"/>
            <w:vAlign w:val="center"/>
          </w:tcPr>
          <w:p w14:paraId="24A3818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3、熟练掌握水电维修、维保操作流程，定期对员工进行安全知识及技能培训，并有档案记录。</w:t>
            </w:r>
          </w:p>
        </w:tc>
        <w:tc>
          <w:tcPr>
            <w:tcW w:w="552" w:type="dxa"/>
            <w:tcBorders>
              <w:top w:val="nil"/>
              <w:left w:val="single" w:color="000000" w:sz="8" w:space="0"/>
              <w:bottom w:val="single" w:color="000000" w:sz="8" w:space="0"/>
              <w:right w:val="single" w:color="000000" w:sz="8" w:space="0"/>
            </w:tcBorders>
            <w:noWrap w:val="0"/>
            <w:vAlign w:val="center"/>
          </w:tcPr>
          <w:p w14:paraId="3C2562B0">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8分</w:t>
            </w:r>
          </w:p>
        </w:tc>
        <w:tc>
          <w:tcPr>
            <w:tcW w:w="2763" w:type="dxa"/>
            <w:tcBorders>
              <w:top w:val="nil"/>
              <w:left w:val="single" w:color="000000" w:sz="8" w:space="0"/>
              <w:bottom w:val="single" w:color="000000" w:sz="8" w:space="0"/>
              <w:right w:val="single" w:color="000000" w:sz="8" w:space="0"/>
            </w:tcBorders>
            <w:noWrap w:val="0"/>
            <w:vAlign w:val="center"/>
          </w:tcPr>
          <w:p w14:paraId="4A4E3B41">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未进行培训或无档案记录扣0.2分。</w:t>
            </w:r>
          </w:p>
        </w:tc>
        <w:tc>
          <w:tcPr>
            <w:tcW w:w="1057" w:type="dxa"/>
            <w:tcBorders>
              <w:top w:val="nil"/>
              <w:left w:val="single" w:color="000000" w:sz="8" w:space="0"/>
              <w:bottom w:val="single" w:color="000000" w:sz="8" w:space="0"/>
              <w:right w:val="single" w:color="000000" w:sz="8" w:space="0"/>
            </w:tcBorders>
            <w:noWrap w:val="0"/>
            <w:vAlign w:val="center"/>
          </w:tcPr>
          <w:p w14:paraId="6C42C6A2">
            <w:pPr>
              <w:jc w:val="center"/>
              <w:rPr>
                <w:rFonts w:hint="eastAsia" w:ascii="仿宋" w:hAnsi="仿宋" w:eastAsia="仿宋" w:cs="仿宋"/>
                <w:i w:val="0"/>
                <w:iCs w:val="0"/>
                <w:color w:val="auto"/>
                <w:sz w:val="21"/>
                <w:szCs w:val="21"/>
                <w:highlight w:val="none"/>
                <w:u w:val="none"/>
              </w:rPr>
            </w:pPr>
          </w:p>
        </w:tc>
      </w:tr>
      <w:tr w14:paraId="135CF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5" w:type="dxa"/>
          <w:trHeight w:val="1205" w:hRule="atLeast"/>
          <w:jc w:val="center"/>
        </w:trPr>
        <w:tc>
          <w:tcPr>
            <w:tcW w:w="1064" w:type="dxa"/>
            <w:vMerge w:val="continue"/>
            <w:tcBorders>
              <w:left w:val="single" w:color="000000" w:sz="8" w:space="0"/>
              <w:right w:val="single" w:color="000000" w:sz="8" w:space="0"/>
            </w:tcBorders>
            <w:noWrap/>
            <w:vAlign w:val="center"/>
          </w:tcPr>
          <w:p w14:paraId="33DD8DED">
            <w:pPr>
              <w:rPr>
                <w:rFonts w:hint="eastAsia" w:ascii="宋体" w:hAnsi="宋体" w:eastAsia="宋体" w:cs="宋体"/>
                <w:i w:val="0"/>
                <w:iCs w:val="0"/>
                <w:color w:val="auto"/>
                <w:sz w:val="22"/>
                <w:szCs w:val="22"/>
                <w:highlight w:val="none"/>
                <w:u w:val="none"/>
              </w:rPr>
            </w:pPr>
          </w:p>
        </w:tc>
        <w:tc>
          <w:tcPr>
            <w:tcW w:w="3703" w:type="dxa"/>
            <w:tcBorders>
              <w:top w:val="nil"/>
              <w:left w:val="single" w:color="000000" w:sz="8" w:space="0"/>
              <w:bottom w:val="single" w:color="000000" w:sz="8" w:space="0"/>
              <w:right w:val="single" w:color="000000" w:sz="8" w:space="0"/>
            </w:tcBorders>
            <w:noWrap w:val="0"/>
            <w:vAlign w:val="center"/>
          </w:tcPr>
          <w:p w14:paraId="3DDBB22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4、制定完善的水电设备巡查制度，严格执行巡查制度，按时巡查，不少巡漏巡，做好巡查签到和巡查记录并存档。</w:t>
            </w:r>
          </w:p>
        </w:tc>
        <w:tc>
          <w:tcPr>
            <w:tcW w:w="552" w:type="dxa"/>
            <w:tcBorders>
              <w:top w:val="nil"/>
              <w:left w:val="single" w:color="000000" w:sz="8" w:space="0"/>
              <w:bottom w:val="single" w:color="000000" w:sz="8" w:space="0"/>
              <w:right w:val="single" w:color="000000" w:sz="8" w:space="0"/>
            </w:tcBorders>
            <w:noWrap w:val="0"/>
            <w:vAlign w:val="center"/>
          </w:tcPr>
          <w:p w14:paraId="1A8833D7">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8分</w:t>
            </w:r>
          </w:p>
        </w:tc>
        <w:tc>
          <w:tcPr>
            <w:tcW w:w="2763" w:type="dxa"/>
            <w:tcBorders>
              <w:top w:val="nil"/>
              <w:left w:val="single" w:color="000000" w:sz="8" w:space="0"/>
              <w:bottom w:val="single" w:color="000000" w:sz="8" w:space="0"/>
              <w:right w:val="single" w:color="000000" w:sz="8" w:space="0"/>
            </w:tcBorders>
            <w:noWrap w:val="0"/>
            <w:vAlign w:val="center"/>
          </w:tcPr>
          <w:p w14:paraId="313AAE4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未按要求严格落实每次扣0.1分。</w:t>
            </w:r>
          </w:p>
        </w:tc>
        <w:tc>
          <w:tcPr>
            <w:tcW w:w="1057" w:type="dxa"/>
            <w:tcBorders>
              <w:top w:val="nil"/>
              <w:left w:val="single" w:color="000000" w:sz="8" w:space="0"/>
              <w:bottom w:val="single" w:color="000000" w:sz="8" w:space="0"/>
              <w:right w:val="single" w:color="000000" w:sz="8" w:space="0"/>
            </w:tcBorders>
            <w:noWrap w:val="0"/>
            <w:vAlign w:val="center"/>
          </w:tcPr>
          <w:p w14:paraId="5BC5E4A0">
            <w:pPr>
              <w:jc w:val="center"/>
              <w:rPr>
                <w:rFonts w:hint="eastAsia" w:ascii="仿宋" w:hAnsi="仿宋" w:eastAsia="仿宋" w:cs="仿宋"/>
                <w:i w:val="0"/>
                <w:iCs w:val="0"/>
                <w:color w:val="auto"/>
                <w:sz w:val="21"/>
                <w:szCs w:val="21"/>
                <w:highlight w:val="none"/>
                <w:u w:val="none"/>
              </w:rPr>
            </w:pPr>
          </w:p>
        </w:tc>
      </w:tr>
      <w:tr w14:paraId="67765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5" w:type="dxa"/>
          <w:trHeight w:val="1100" w:hRule="atLeast"/>
          <w:jc w:val="center"/>
        </w:trPr>
        <w:tc>
          <w:tcPr>
            <w:tcW w:w="1064" w:type="dxa"/>
            <w:vMerge w:val="continue"/>
            <w:tcBorders>
              <w:left w:val="single" w:color="000000" w:sz="8" w:space="0"/>
              <w:right w:val="single" w:color="000000" w:sz="8" w:space="0"/>
            </w:tcBorders>
            <w:noWrap/>
            <w:vAlign w:val="center"/>
          </w:tcPr>
          <w:p w14:paraId="4D68A397">
            <w:pPr>
              <w:rPr>
                <w:rFonts w:hint="eastAsia" w:ascii="宋体" w:hAnsi="宋体" w:eastAsia="宋体" w:cs="宋体"/>
                <w:i w:val="0"/>
                <w:iCs w:val="0"/>
                <w:color w:val="auto"/>
                <w:sz w:val="22"/>
                <w:szCs w:val="22"/>
                <w:highlight w:val="none"/>
                <w:u w:val="none"/>
              </w:rPr>
            </w:pPr>
          </w:p>
        </w:tc>
        <w:tc>
          <w:tcPr>
            <w:tcW w:w="3703" w:type="dxa"/>
            <w:tcBorders>
              <w:top w:val="nil"/>
              <w:left w:val="single" w:color="000000" w:sz="8" w:space="0"/>
              <w:bottom w:val="single" w:color="000000" w:sz="8" w:space="0"/>
              <w:right w:val="single" w:color="000000" w:sz="8" w:space="0"/>
            </w:tcBorders>
            <w:noWrap w:val="0"/>
            <w:vAlign w:val="center"/>
          </w:tcPr>
          <w:p w14:paraId="47FAE3A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5、水电设施、设备定期检查，记录完整；发现缺失、过期、随意挪动、损坏等情况及时上报并存档。</w:t>
            </w:r>
          </w:p>
        </w:tc>
        <w:tc>
          <w:tcPr>
            <w:tcW w:w="552" w:type="dxa"/>
            <w:tcBorders>
              <w:top w:val="nil"/>
              <w:left w:val="single" w:color="000000" w:sz="8" w:space="0"/>
              <w:bottom w:val="single" w:color="000000" w:sz="8" w:space="0"/>
              <w:right w:val="single" w:color="000000" w:sz="8" w:space="0"/>
            </w:tcBorders>
            <w:noWrap w:val="0"/>
            <w:vAlign w:val="center"/>
          </w:tcPr>
          <w:p w14:paraId="4D58A8A0">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8分</w:t>
            </w:r>
          </w:p>
        </w:tc>
        <w:tc>
          <w:tcPr>
            <w:tcW w:w="2763" w:type="dxa"/>
            <w:tcBorders>
              <w:top w:val="nil"/>
              <w:left w:val="single" w:color="000000" w:sz="8" w:space="0"/>
              <w:bottom w:val="single" w:color="000000" w:sz="8" w:space="0"/>
              <w:right w:val="single" w:color="000000" w:sz="8" w:space="0"/>
            </w:tcBorders>
            <w:noWrap w:val="0"/>
            <w:vAlign w:val="center"/>
          </w:tcPr>
          <w:p w14:paraId="519A3B6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未按要求落实的每发现一次扣0.1分。</w:t>
            </w:r>
          </w:p>
        </w:tc>
        <w:tc>
          <w:tcPr>
            <w:tcW w:w="1057" w:type="dxa"/>
            <w:tcBorders>
              <w:top w:val="nil"/>
              <w:left w:val="single" w:color="000000" w:sz="8" w:space="0"/>
              <w:bottom w:val="single" w:color="000000" w:sz="8" w:space="0"/>
              <w:right w:val="single" w:color="000000" w:sz="8" w:space="0"/>
            </w:tcBorders>
            <w:noWrap w:val="0"/>
            <w:vAlign w:val="center"/>
          </w:tcPr>
          <w:p w14:paraId="609C740D">
            <w:pPr>
              <w:jc w:val="center"/>
              <w:rPr>
                <w:rFonts w:hint="eastAsia" w:ascii="仿宋" w:hAnsi="仿宋" w:eastAsia="仿宋" w:cs="仿宋"/>
                <w:i w:val="0"/>
                <w:iCs w:val="0"/>
                <w:color w:val="auto"/>
                <w:sz w:val="21"/>
                <w:szCs w:val="21"/>
                <w:highlight w:val="none"/>
                <w:u w:val="none"/>
              </w:rPr>
            </w:pPr>
          </w:p>
        </w:tc>
      </w:tr>
      <w:tr w14:paraId="64002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5" w:type="dxa"/>
          <w:trHeight w:val="1160" w:hRule="atLeast"/>
          <w:jc w:val="center"/>
        </w:trPr>
        <w:tc>
          <w:tcPr>
            <w:tcW w:w="1064" w:type="dxa"/>
            <w:vMerge w:val="continue"/>
            <w:tcBorders>
              <w:left w:val="single" w:color="000000" w:sz="8" w:space="0"/>
              <w:right w:val="single" w:color="000000" w:sz="8" w:space="0"/>
            </w:tcBorders>
            <w:noWrap/>
            <w:vAlign w:val="center"/>
          </w:tcPr>
          <w:p w14:paraId="3CF2EE47">
            <w:pPr>
              <w:rPr>
                <w:rFonts w:hint="eastAsia" w:ascii="宋体" w:hAnsi="宋体" w:eastAsia="宋体" w:cs="宋体"/>
                <w:i w:val="0"/>
                <w:iCs w:val="0"/>
                <w:color w:val="auto"/>
                <w:sz w:val="22"/>
                <w:szCs w:val="22"/>
                <w:highlight w:val="none"/>
                <w:u w:val="none"/>
              </w:rPr>
            </w:pPr>
          </w:p>
        </w:tc>
        <w:tc>
          <w:tcPr>
            <w:tcW w:w="3703" w:type="dxa"/>
            <w:tcBorders>
              <w:top w:val="nil"/>
              <w:left w:val="single" w:color="000000" w:sz="8" w:space="0"/>
              <w:bottom w:val="single" w:color="000000" w:sz="8" w:space="0"/>
              <w:right w:val="single" w:color="000000" w:sz="8" w:space="0"/>
            </w:tcBorders>
            <w:noWrap w:val="0"/>
            <w:vAlign w:val="center"/>
          </w:tcPr>
          <w:p w14:paraId="35090AF8">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6、上岗时按规定着装，仪表端正、整洁，不得迟到早退，工作时间不得休息睡觉，不得做与工作无关的事情。</w:t>
            </w:r>
          </w:p>
        </w:tc>
        <w:tc>
          <w:tcPr>
            <w:tcW w:w="552" w:type="dxa"/>
            <w:tcBorders>
              <w:top w:val="nil"/>
              <w:left w:val="single" w:color="000000" w:sz="8" w:space="0"/>
              <w:bottom w:val="single" w:color="000000" w:sz="8" w:space="0"/>
              <w:right w:val="single" w:color="000000" w:sz="8" w:space="0"/>
            </w:tcBorders>
            <w:noWrap w:val="0"/>
            <w:vAlign w:val="center"/>
          </w:tcPr>
          <w:p w14:paraId="100F26C5">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8分</w:t>
            </w:r>
          </w:p>
        </w:tc>
        <w:tc>
          <w:tcPr>
            <w:tcW w:w="2763" w:type="dxa"/>
            <w:tcBorders>
              <w:top w:val="nil"/>
              <w:left w:val="single" w:color="000000" w:sz="8" w:space="0"/>
              <w:bottom w:val="single" w:color="000000" w:sz="8" w:space="0"/>
              <w:right w:val="single" w:color="000000" w:sz="8" w:space="0"/>
            </w:tcBorders>
            <w:noWrap w:val="0"/>
            <w:vAlign w:val="center"/>
          </w:tcPr>
          <w:p w14:paraId="74B0C81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未按要求严格落实每次扣0.1分。</w:t>
            </w:r>
          </w:p>
        </w:tc>
        <w:tc>
          <w:tcPr>
            <w:tcW w:w="1057" w:type="dxa"/>
            <w:tcBorders>
              <w:top w:val="nil"/>
              <w:left w:val="single" w:color="000000" w:sz="8" w:space="0"/>
              <w:bottom w:val="single" w:color="000000" w:sz="8" w:space="0"/>
              <w:right w:val="single" w:color="000000" w:sz="8" w:space="0"/>
            </w:tcBorders>
            <w:noWrap w:val="0"/>
            <w:vAlign w:val="center"/>
          </w:tcPr>
          <w:p w14:paraId="625D2D3C">
            <w:pPr>
              <w:jc w:val="center"/>
              <w:rPr>
                <w:rFonts w:hint="eastAsia" w:ascii="仿宋" w:hAnsi="仿宋" w:eastAsia="仿宋" w:cs="仿宋"/>
                <w:i w:val="0"/>
                <w:iCs w:val="0"/>
                <w:color w:val="auto"/>
                <w:sz w:val="21"/>
                <w:szCs w:val="21"/>
                <w:highlight w:val="none"/>
                <w:u w:val="none"/>
              </w:rPr>
            </w:pPr>
          </w:p>
        </w:tc>
      </w:tr>
      <w:tr w14:paraId="53B78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5" w:type="dxa"/>
          <w:trHeight w:val="1065" w:hRule="atLeast"/>
          <w:jc w:val="center"/>
        </w:trPr>
        <w:tc>
          <w:tcPr>
            <w:tcW w:w="1064" w:type="dxa"/>
            <w:vMerge w:val="continue"/>
            <w:tcBorders>
              <w:left w:val="single" w:color="000000" w:sz="8" w:space="0"/>
              <w:bottom w:val="single" w:color="000000" w:sz="8" w:space="0"/>
              <w:right w:val="single" w:color="000000" w:sz="8" w:space="0"/>
            </w:tcBorders>
            <w:noWrap/>
            <w:vAlign w:val="center"/>
          </w:tcPr>
          <w:p w14:paraId="1795183B">
            <w:pPr>
              <w:rPr>
                <w:rFonts w:hint="eastAsia" w:ascii="宋体" w:hAnsi="宋体" w:eastAsia="宋体" w:cs="宋体"/>
                <w:i w:val="0"/>
                <w:iCs w:val="0"/>
                <w:color w:val="auto"/>
                <w:sz w:val="22"/>
                <w:szCs w:val="22"/>
                <w:highlight w:val="none"/>
                <w:u w:val="none"/>
              </w:rPr>
            </w:pPr>
          </w:p>
        </w:tc>
        <w:tc>
          <w:tcPr>
            <w:tcW w:w="3703" w:type="dxa"/>
            <w:tcBorders>
              <w:top w:val="nil"/>
              <w:left w:val="single" w:color="000000" w:sz="8" w:space="0"/>
              <w:bottom w:val="single" w:color="000000" w:sz="8" w:space="0"/>
              <w:right w:val="single" w:color="000000" w:sz="8" w:space="0"/>
            </w:tcBorders>
            <w:noWrap w:val="0"/>
            <w:vAlign w:val="center"/>
          </w:tcPr>
          <w:p w14:paraId="12DE3DAD">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7、24小时值班，收到火情、险情及其他异常情况后，及时报告，并安排人员及时赶到现场进行前期处理。</w:t>
            </w:r>
          </w:p>
        </w:tc>
        <w:tc>
          <w:tcPr>
            <w:tcW w:w="552" w:type="dxa"/>
            <w:tcBorders>
              <w:top w:val="nil"/>
              <w:left w:val="single" w:color="000000" w:sz="8" w:space="0"/>
              <w:bottom w:val="single" w:color="000000" w:sz="8" w:space="0"/>
              <w:right w:val="single" w:color="000000" w:sz="8" w:space="0"/>
            </w:tcBorders>
            <w:noWrap w:val="0"/>
            <w:vAlign w:val="center"/>
          </w:tcPr>
          <w:p w14:paraId="0ED401D8">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7分</w:t>
            </w:r>
          </w:p>
        </w:tc>
        <w:tc>
          <w:tcPr>
            <w:tcW w:w="2763" w:type="dxa"/>
            <w:tcBorders>
              <w:top w:val="nil"/>
              <w:left w:val="single" w:color="000000" w:sz="8" w:space="0"/>
              <w:bottom w:val="single" w:color="000000" w:sz="8" w:space="0"/>
              <w:right w:val="single" w:color="000000" w:sz="8" w:space="0"/>
            </w:tcBorders>
            <w:noWrap w:val="0"/>
            <w:vAlign w:val="center"/>
          </w:tcPr>
          <w:p w14:paraId="28BC0B7B">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未按要求严格落实每次扣0.1分。</w:t>
            </w:r>
          </w:p>
        </w:tc>
        <w:tc>
          <w:tcPr>
            <w:tcW w:w="1057" w:type="dxa"/>
            <w:tcBorders>
              <w:top w:val="nil"/>
              <w:left w:val="single" w:color="000000" w:sz="8" w:space="0"/>
              <w:bottom w:val="single" w:color="000000" w:sz="8" w:space="0"/>
              <w:right w:val="single" w:color="000000" w:sz="8" w:space="0"/>
            </w:tcBorders>
            <w:noWrap w:val="0"/>
            <w:vAlign w:val="center"/>
          </w:tcPr>
          <w:p w14:paraId="6774E6D6">
            <w:pPr>
              <w:jc w:val="center"/>
              <w:rPr>
                <w:rFonts w:hint="eastAsia" w:ascii="仿宋" w:hAnsi="仿宋" w:eastAsia="仿宋" w:cs="仿宋"/>
                <w:i w:val="0"/>
                <w:iCs w:val="0"/>
                <w:color w:val="auto"/>
                <w:sz w:val="21"/>
                <w:szCs w:val="21"/>
                <w:highlight w:val="none"/>
                <w:u w:val="none"/>
              </w:rPr>
            </w:pPr>
          </w:p>
        </w:tc>
      </w:tr>
      <w:tr w14:paraId="74475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5" w:type="dxa"/>
          <w:trHeight w:val="315" w:hRule="atLeast"/>
          <w:jc w:val="center"/>
        </w:trPr>
        <w:tc>
          <w:tcPr>
            <w:tcW w:w="9139" w:type="dxa"/>
            <w:gridSpan w:val="5"/>
            <w:tcBorders>
              <w:top w:val="nil"/>
              <w:left w:val="single" w:color="000000" w:sz="8" w:space="0"/>
              <w:bottom w:val="single" w:color="000000" w:sz="8" w:space="0"/>
              <w:right w:val="single" w:color="000000" w:sz="8" w:space="0"/>
            </w:tcBorders>
            <w:noWrap w:val="0"/>
            <w:vAlign w:val="center"/>
          </w:tcPr>
          <w:p w14:paraId="447CD2B3">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单项合计：</w:t>
            </w:r>
          </w:p>
        </w:tc>
      </w:tr>
      <w:tr w14:paraId="052DB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5" w:type="dxa"/>
          <w:trHeight w:val="630" w:hRule="atLeast"/>
          <w:jc w:val="center"/>
        </w:trPr>
        <w:tc>
          <w:tcPr>
            <w:tcW w:w="1064" w:type="dxa"/>
            <w:vMerge w:val="restart"/>
            <w:tcBorders>
              <w:top w:val="nil"/>
              <w:left w:val="single" w:color="000000" w:sz="8" w:space="0"/>
              <w:bottom w:val="single" w:color="000000" w:sz="8" w:space="0"/>
              <w:right w:val="single" w:color="000000" w:sz="8" w:space="0"/>
            </w:tcBorders>
            <w:noWrap w:val="0"/>
            <w:vAlign w:val="center"/>
          </w:tcPr>
          <w:p w14:paraId="4CE9DE0A">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加分项（5分）</w:t>
            </w:r>
          </w:p>
        </w:tc>
        <w:tc>
          <w:tcPr>
            <w:tcW w:w="3703" w:type="dxa"/>
            <w:tcBorders>
              <w:top w:val="single" w:color="000000" w:sz="8" w:space="0"/>
              <w:left w:val="single" w:color="000000" w:sz="8" w:space="0"/>
              <w:bottom w:val="single" w:color="000000" w:sz="8" w:space="0"/>
              <w:right w:val="single" w:color="000000" w:sz="8" w:space="0"/>
            </w:tcBorders>
            <w:noWrap w:val="0"/>
            <w:vAlign w:val="center"/>
          </w:tcPr>
          <w:p w14:paraId="34CFAD5A">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1、工程维修设备维护维保服务受到服务单位领导表扬。</w:t>
            </w:r>
          </w:p>
        </w:tc>
        <w:tc>
          <w:tcPr>
            <w:tcW w:w="552" w:type="dxa"/>
            <w:tcBorders>
              <w:top w:val="single" w:color="000000" w:sz="8" w:space="0"/>
              <w:left w:val="single" w:color="000000" w:sz="8" w:space="0"/>
              <w:bottom w:val="single" w:color="000000" w:sz="8" w:space="0"/>
              <w:right w:val="single" w:color="000000" w:sz="8" w:space="0"/>
            </w:tcBorders>
            <w:noWrap w:val="0"/>
            <w:vAlign w:val="center"/>
          </w:tcPr>
          <w:p w14:paraId="5654727F">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2分</w:t>
            </w:r>
          </w:p>
        </w:tc>
        <w:tc>
          <w:tcPr>
            <w:tcW w:w="2763" w:type="dxa"/>
            <w:tcBorders>
              <w:top w:val="single" w:color="000000" w:sz="8" w:space="0"/>
              <w:left w:val="single" w:color="000000" w:sz="8" w:space="0"/>
              <w:bottom w:val="single" w:color="000000" w:sz="8" w:space="0"/>
              <w:right w:val="single" w:color="000000" w:sz="8" w:space="0"/>
            </w:tcBorders>
            <w:noWrap w:val="0"/>
            <w:vAlign w:val="center"/>
          </w:tcPr>
          <w:p w14:paraId="3185BF82">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每次1分，无不得分。</w:t>
            </w:r>
          </w:p>
        </w:tc>
        <w:tc>
          <w:tcPr>
            <w:tcW w:w="1057" w:type="dxa"/>
            <w:tcBorders>
              <w:top w:val="single" w:color="000000" w:sz="8" w:space="0"/>
              <w:left w:val="single" w:color="000000" w:sz="8" w:space="0"/>
              <w:bottom w:val="single" w:color="000000" w:sz="8" w:space="0"/>
              <w:right w:val="single" w:color="000000" w:sz="8" w:space="0"/>
            </w:tcBorders>
            <w:noWrap w:val="0"/>
            <w:vAlign w:val="center"/>
          </w:tcPr>
          <w:p w14:paraId="40CAC7FA">
            <w:pPr>
              <w:jc w:val="center"/>
              <w:rPr>
                <w:rFonts w:hint="eastAsia" w:ascii="仿宋" w:hAnsi="仿宋" w:eastAsia="仿宋" w:cs="仿宋"/>
                <w:i w:val="0"/>
                <w:iCs w:val="0"/>
                <w:color w:val="auto"/>
                <w:sz w:val="21"/>
                <w:szCs w:val="21"/>
                <w:highlight w:val="none"/>
                <w:u w:val="none"/>
              </w:rPr>
            </w:pPr>
          </w:p>
        </w:tc>
      </w:tr>
      <w:tr w14:paraId="38925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5" w:type="dxa"/>
          <w:trHeight w:val="825" w:hRule="atLeast"/>
          <w:jc w:val="center"/>
        </w:trPr>
        <w:tc>
          <w:tcPr>
            <w:tcW w:w="1064" w:type="dxa"/>
            <w:vMerge w:val="continue"/>
            <w:tcBorders>
              <w:top w:val="nil"/>
              <w:left w:val="single" w:color="000000" w:sz="8" w:space="0"/>
              <w:bottom w:val="single" w:color="000000" w:sz="8" w:space="0"/>
              <w:right w:val="single" w:color="000000" w:sz="8" w:space="0"/>
            </w:tcBorders>
            <w:noWrap w:val="0"/>
            <w:vAlign w:val="center"/>
          </w:tcPr>
          <w:p w14:paraId="55B9ADD4">
            <w:pPr>
              <w:jc w:val="center"/>
              <w:rPr>
                <w:rFonts w:hint="eastAsia" w:ascii="仿宋" w:hAnsi="仿宋" w:eastAsia="仿宋" w:cs="仿宋"/>
                <w:i w:val="0"/>
                <w:iCs w:val="0"/>
                <w:color w:val="auto"/>
                <w:sz w:val="21"/>
                <w:szCs w:val="21"/>
                <w:highlight w:val="none"/>
                <w:u w:val="none"/>
              </w:rPr>
            </w:pPr>
          </w:p>
        </w:tc>
        <w:tc>
          <w:tcPr>
            <w:tcW w:w="3703" w:type="dxa"/>
            <w:tcBorders>
              <w:top w:val="nil"/>
              <w:left w:val="single" w:color="000000" w:sz="8" w:space="0"/>
              <w:bottom w:val="single" w:color="000000" w:sz="8" w:space="0"/>
              <w:right w:val="single" w:color="000000" w:sz="8" w:space="0"/>
            </w:tcBorders>
            <w:noWrap w:val="0"/>
            <w:vAlign w:val="center"/>
          </w:tcPr>
          <w:p w14:paraId="78AEC723">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2、拾金不昧上交或主动归还失主受到失主表扬或重大检查现场工作收到校方表扬。</w:t>
            </w:r>
          </w:p>
        </w:tc>
        <w:tc>
          <w:tcPr>
            <w:tcW w:w="552" w:type="dxa"/>
            <w:tcBorders>
              <w:top w:val="nil"/>
              <w:left w:val="single" w:color="000000" w:sz="8" w:space="0"/>
              <w:bottom w:val="single" w:color="000000" w:sz="8" w:space="0"/>
              <w:right w:val="single" w:color="000000" w:sz="8" w:space="0"/>
            </w:tcBorders>
            <w:noWrap w:val="0"/>
            <w:vAlign w:val="center"/>
          </w:tcPr>
          <w:p w14:paraId="517C2899">
            <w:pPr>
              <w:keepNext w:val="0"/>
              <w:keepLines w:val="0"/>
              <w:widowControl/>
              <w:suppressLineNumbers w:val="0"/>
              <w:jc w:val="center"/>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3分</w:t>
            </w:r>
          </w:p>
        </w:tc>
        <w:tc>
          <w:tcPr>
            <w:tcW w:w="2763" w:type="dxa"/>
            <w:tcBorders>
              <w:top w:val="nil"/>
              <w:left w:val="single" w:color="000000" w:sz="8" w:space="0"/>
              <w:bottom w:val="single" w:color="000000" w:sz="8" w:space="0"/>
              <w:right w:val="single" w:color="000000" w:sz="8" w:space="0"/>
            </w:tcBorders>
            <w:noWrap w:val="0"/>
            <w:vAlign w:val="center"/>
          </w:tcPr>
          <w:p w14:paraId="7BA31F75">
            <w:pPr>
              <w:keepNext w:val="0"/>
              <w:keepLines w:val="0"/>
              <w:widowControl/>
              <w:suppressLineNumbers w:val="0"/>
              <w:jc w:val="both"/>
              <w:textAlignment w:val="center"/>
              <w:rPr>
                <w:rFonts w:hint="eastAsia" w:ascii="仿宋" w:hAnsi="仿宋" w:eastAsia="仿宋" w:cs="仿宋"/>
                <w:i w:val="0"/>
                <w:iCs w:val="0"/>
                <w:color w:val="auto"/>
                <w:sz w:val="18"/>
                <w:szCs w:val="18"/>
                <w:highlight w:val="none"/>
                <w:u w:val="none"/>
              </w:rPr>
            </w:pPr>
            <w:r>
              <w:rPr>
                <w:rFonts w:hint="eastAsia" w:ascii="仿宋" w:hAnsi="仿宋" w:eastAsia="仿宋" w:cs="仿宋"/>
                <w:i w:val="0"/>
                <w:iCs w:val="0"/>
                <w:color w:val="auto"/>
                <w:kern w:val="0"/>
                <w:sz w:val="18"/>
                <w:szCs w:val="18"/>
                <w:highlight w:val="none"/>
                <w:u w:val="none"/>
                <w:lang w:val="en-US" w:eastAsia="zh-CN" w:bidi="ar"/>
              </w:rPr>
              <w:t>每次1分，无不得分。</w:t>
            </w:r>
          </w:p>
        </w:tc>
        <w:tc>
          <w:tcPr>
            <w:tcW w:w="1057" w:type="dxa"/>
            <w:tcBorders>
              <w:top w:val="nil"/>
              <w:left w:val="single" w:color="000000" w:sz="8" w:space="0"/>
              <w:bottom w:val="single" w:color="000000" w:sz="8" w:space="0"/>
              <w:right w:val="single" w:color="000000" w:sz="8" w:space="0"/>
            </w:tcBorders>
            <w:noWrap w:val="0"/>
            <w:vAlign w:val="center"/>
          </w:tcPr>
          <w:p w14:paraId="36356EB2">
            <w:pPr>
              <w:jc w:val="center"/>
              <w:rPr>
                <w:rFonts w:hint="eastAsia" w:ascii="仿宋" w:hAnsi="仿宋" w:eastAsia="仿宋" w:cs="仿宋"/>
                <w:i w:val="0"/>
                <w:iCs w:val="0"/>
                <w:color w:val="auto"/>
                <w:sz w:val="21"/>
                <w:szCs w:val="21"/>
                <w:highlight w:val="none"/>
                <w:u w:val="none"/>
              </w:rPr>
            </w:pPr>
          </w:p>
        </w:tc>
      </w:tr>
      <w:tr w14:paraId="06649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5" w:type="dxa"/>
          <w:trHeight w:val="455" w:hRule="atLeast"/>
          <w:jc w:val="center"/>
        </w:trPr>
        <w:tc>
          <w:tcPr>
            <w:tcW w:w="9139" w:type="dxa"/>
            <w:gridSpan w:val="5"/>
            <w:tcBorders>
              <w:top w:val="nil"/>
              <w:left w:val="single" w:color="000000" w:sz="8" w:space="0"/>
              <w:bottom w:val="single" w:color="000000" w:sz="8" w:space="0"/>
              <w:right w:val="single" w:color="000000" w:sz="8" w:space="0"/>
            </w:tcBorders>
            <w:noWrap w:val="0"/>
            <w:vAlign w:val="center"/>
          </w:tcPr>
          <w:p w14:paraId="210A10A3">
            <w:pPr>
              <w:keepNext w:val="0"/>
              <w:keepLines w:val="0"/>
              <w:widowControl/>
              <w:suppressLineNumbers w:val="0"/>
              <w:ind w:firstLineChars="30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考核单位：                                        考核总分：</w:t>
            </w:r>
          </w:p>
        </w:tc>
      </w:tr>
    </w:tbl>
    <w:p w14:paraId="387A888C">
      <w:pPr>
        <w:kinsoku/>
        <w:wordWrap/>
        <w:overflowPunct/>
        <w:topLinePunct w:val="0"/>
        <w:autoSpaceDE/>
        <w:autoSpaceDN/>
        <w:bidi w:val="0"/>
        <w:adjustRightInd/>
        <w:snapToGrid/>
        <w:spacing w:line="360" w:lineRule="auto"/>
        <w:jc w:val="both"/>
        <w:textAlignment w:val="auto"/>
        <w:rPr>
          <w:rFonts w:hint="eastAsia" w:ascii="Times New Roman" w:hAnsi="Times New Roman"/>
          <w:sz w:val="24"/>
        </w:rPr>
      </w:pPr>
    </w:p>
    <w:p w14:paraId="7DD83C86">
      <w:pPr>
        <w:kinsoku/>
        <w:wordWrap/>
        <w:overflowPunct/>
        <w:topLinePunct w:val="0"/>
        <w:autoSpaceDE/>
        <w:autoSpaceDN/>
        <w:bidi w:val="0"/>
        <w:adjustRightInd/>
        <w:snapToGrid/>
        <w:spacing w:line="480" w:lineRule="auto"/>
        <w:textAlignment w:val="auto"/>
        <w:rPr>
          <w:rFonts w:hint="eastAsia" w:ascii="仿宋" w:hAnsi="仿宋" w:eastAsia="仿宋" w:cs="仿宋"/>
          <w:sz w:val="24"/>
        </w:rPr>
      </w:pPr>
      <w:r>
        <w:rPr>
          <w:rFonts w:hint="eastAsia" w:ascii="仿宋" w:hAnsi="仿宋" w:eastAsia="仿宋" w:cs="仿宋"/>
          <w:sz w:val="24"/>
        </w:rPr>
        <w:br w:type="page"/>
      </w:r>
    </w:p>
    <w:p w14:paraId="460F05CE">
      <w:pPr>
        <w:kinsoku/>
        <w:wordWrap/>
        <w:overflowPunct/>
        <w:topLinePunct w:val="0"/>
        <w:autoSpaceDE/>
        <w:autoSpaceDN/>
        <w:bidi w:val="0"/>
        <w:adjustRightInd/>
        <w:snapToGrid/>
        <w:spacing w:line="480" w:lineRule="auto"/>
        <w:textAlignment w:val="auto"/>
        <w:rPr>
          <w:rFonts w:hint="default" w:ascii="仿宋" w:hAnsi="仿宋" w:eastAsia="仿宋" w:cs="仿宋"/>
          <w:b/>
          <w:bCs w:val="0"/>
          <w:sz w:val="24"/>
          <w:lang w:val="en-US" w:eastAsia="zh-CN"/>
        </w:rPr>
      </w:pPr>
      <w:r>
        <w:rPr>
          <w:rFonts w:hint="eastAsia" w:ascii="仿宋" w:hAnsi="仿宋" w:eastAsia="仿宋" w:cs="仿宋"/>
          <w:b/>
          <w:bCs w:val="0"/>
          <w:sz w:val="24"/>
          <w:lang w:val="en-US" w:eastAsia="zh-CN"/>
        </w:rPr>
        <w:t>附件3：</w:t>
      </w:r>
      <w:r>
        <w:rPr>
          <w:rFonts w:hint="eastAsia" w:ascii="仿宋" w:hAnsi="仿宋" w:eastAsia="仿宋" w:cs="仿宋"/>
          <w:b/>
          <w:bCs w:val="0"/>
          <w:color w:val="auto"/>
          <w:sz w:val="24"/>
          <w:szCs w:val="24"/>
        </w:rPr>
        <w:t>服务人员岗位配置</w:t>
      </w:r>
    </w:p>
    <w:p w14:paraId="4DDFE1E9">
      <w:pPr>
        <w:kinsoku/>
        <w:wordWrap/>
        <w:overflowPunct/>
        <w:topLinePunct w:val="0"/>
        <w:autoSpaceDE/>
        <w:autoSpaceDN/>
        <w:bidi w:val="0"/>
        <w:adjustRightInd/>
        <w:snapToGrid/>
        <w:spacing w:line="480" w:lineRule="auto"/>
        <w:jc w:val="center"/>
        <w:textAlignment w:val="auto"/>
        <w:rPr>
          <w:rFonts w:hint="eastAsia" w:ascii="仿宋" w:hAnsi="仿宋" w:eastAsia="仿宋" w:cs="仿宋"/>
          <w:b/>
          <w:bCs w:val="0"/>
          <w:sz w:val="36"/>
          <w:szCs w:val="36"/>
          <w:lang w:val="en-US" w:eastAsia="zh-CN"/>
        </w:rPr>
      </w:pPr>
      <w:r>
        <w:rPr>
          <w:rFonts w:hint="eastAsia" w:ascii="仿宋" w:hAnsi="仿宋" w:eastAsia="仿宋" w:cs="仿宋"/>
          <w:b/>
          <w:bCs/>
          <w:color w:val="auto"/>
          <w:sz w:val="36"/>
          <w:szCs w:val="36"/>
        </w:rPr>
        <w:t>服务人员岗位配置</w:t>
      </w:r>
    </w:p>
    <w:p w14:paraId="0407E662">
      <w:pPr>
        <w:numPr>
          <w:ilvl w:val="0"/>
          <w:numId w:val="0"/>
        </w:numPr>
        <w:kinsoku/>
        <w:wordWrap/>
        <w:overflowPunct/>
        <w:topLinePunct w:val="0"/>
        <w:autoSpaceDE/>
        <w:autoSpaceDN/>
        <w:bidi w:val="0"/>
        <w:adjustRightInd/>
        <w:snapToGrid/>
        <w:spacing w:line="360" w:lineRule="auto"/>
        <w:ind w:left="240" w:leftChars="0"/>
        <w:textAlignment w:val="auto"/>
        <w:rPr>
          <w:rFonts w:hint="default" w:ascii="仿宋" w:hAnsi="仿宋" w:eastAsia="仿宋" w:cs="仿宋"/>
          <w:sz w:val="24"/>
          <w:lang w:val="en-US" w:eastAsia="zh-CN"/>
        </w:rPr>
      </w:pPr>
    </w:p>
    <w:p w14:paraId="17B61F0F">
      <w:pPr>
        <w:numPr>
          <w:ilvl w:val="0"/>
          <w:numId w:val="1"/>
        </w:numPr>
        <w:kinsoku/>
        <w:wordWrap/>
        <w:overflowPunct/>
        <w:topLinePunct w:val="0"/>
        <w:autoSpaceDE/>
        <w:autoSpaceDN/>
        <w:bidi w:val="0"/>
        <w:adjustRightInd/>
        <w:snapToGrid/>
        <w:spacing w:line="360" w:lineRule="auto"/>
        <w:ind w:left="0" w:leftChars="0" w:firstLine="240" w:firstLineChars="100"/>
        <w:textAlignment w:val="auto"/>
        <w:rPr>
          <w:rFonts w:hint="eastAsia" w:ascii="仿宋" w:hAnsi="仿宋" w:eastAsia="仿宋" w:cs="仿宋"/>
          <w:sz w:val="24"/>
          <w:lang w:val="en-US" w:eastAsia="zh-CN"/>
        </w:rPr>
      </w:pPr>
      <w:r>
        <w:rPr>
          <w:rFonts w:hint="eastAsia" w:ascii="仿宋" w:hAnsi="仿宋" w:eastAsia="仿宋" w:cs="仿宋"/>
          <w:sz w:val="24"/>
          <w:lang w:val="en-US" w:eastAsia="zh-CN"/>
        </w:rPr>
        <w:t>工勤技术岗(满编19人，做六休一)：</w:t>
      </w:r>
    </w:p>
    <w:p w14:paraId="34D51FBD">
      <w:pPr>
        <w:numPr>
          <w:ilvl w:val="0"/>
          <w:numId w:val="2"/>
        </w:numPr>
        <w:kinsoku/>
        <w:wordWrap/>
        <w:overflowPunct/>
        <w:topLinePunct w:val="0"/>
        <w:autoSpaceDE/>
        <w:autoSpaceDN/>
        <w:bidi w:val="0"/>
        <w:adjustRightInd/>
        <w:snapToGrid/>
        <w:spacing w:line="360" w:lineRule="auto"/>
        <w:ind w:left="210" w:leftChars="0"/>
        <w:textAlignment w:val="auto"/>
        <w:rPr>
          <w:rFonts w:hint="eastAsia" w:ascii="仿宋" w:hAnsi="仿宋" w:eastAsia="仿宋" w:cs="仿宋"/>
          <w:sz w:val="24"/>
          <w:lang w:val="en-US" w:eastAsia="zh-CN"/>
        </w:rPr>
      </w:pPr>
      <w:r>
        <w:rPr>
          <w:rFonts w:hint="eastAsia" w:ascii="仿宋" w:hAnsi="仿宋" w:eastAsia="仿宋" w:cs="仿宋"/>
          <w:sz w:val="24"/>
          <w:lang w:val="en-US" w:eastAsia="zh-CN"/>
        </w:rPr>
        <w:t>电梯专员：2人；</w:t>
      </w:r>
    </w:p>
    <w:p w14:paraId="6B757971">
      <w:pPr>
        <w:numPr>
          <w:ilvl w:val="0"/>
          <w:numId w:val="2"/>
        </w:numPr>
        <w:kinsoku/>
        <w:wordWrap/>
        <w:overflowPunct/>
        <w:topLinePunct w:val="0"/>
        <w:autoSpaceDE/>
        <w:autoSpaceDN/>
        <w:bidi w:val="0"/>
        <w:adjustRightInd/>
        <w:snapToGrid/>
        <w:spacing w:line="360" w:lineRule="auto"/>
        <w:ind w:left="210" w:leftChars="0"/>
        <w:textAlignment w:val="auto"/>
        <w:rPr>
          <w:rFonts w:hint="default" w:ascii="仿宋" w:hAnsi="仿宋" w:eastAsia="仿宋" w:cs="仿宋"/>
          <w:sz w:val="24"/>
          <w:lang w:val="en-US" w:eastAsia="zh-CN"/>
        </w:rPr>
      </w:pPr>
      <w:r>
        <w:rPr>
          <w:rFonts w:hint="eastAsia" w:ascii="仿宋" w:hAnsi="仿宋" w:eastAsia="仿宋" w:cs="仿宋"/>
          <w:sz w:val="24"/>
          <w:lang w:val="en-US" w:eastAsia="zh-CN"/>
        </w:rPr>
        <w:t>暖通专员：1人；</w:t>
      </w:r>
    </w:p>
    <w:p w14:paraId="37EB6DD1">
      <w:pPr>
        <w:numPr>
          <w:ilvl w:val="0"/>
          <w:numId w:val="2"/>
        </w:numPr>
        <w:kinsoku/>
        <w:wordWrap/>
        <w:overflowPunct/>
        <w:topLinePunct w:val="0"/>
        <w:autoSpaceDE/>
        <w:autoSpaceDN/>
        <w:bidi w:val="0"/>
        <w:adjustRightInd/>
        <w:snapToGrid/>
        <w:spacing w:line="360" w:lineRule="auto"/>
        <w:ind w:left="210" w:leftChars="0"/>
        <w:textAlignment w:val="auto"/>
        <w:rPr>
          <w:rFonts w:hint="default" w:ascii="仿宋" w:hAnsi="仿宋" w:eastAsia="仿宋" w:cs="仿宋"/>
          <w:sz w:val="24"/>
          <w:lang w:val="en-US" w:eastAsia="zh-CN"/>
        </w:rPr>
      </w:pPr>
      <w:r>
        <w:rPr>
          <w:rFonts w:hint="eastAsia" w:ascii="仿宋" w:hAnsi="仿宋" w:eastAsia="仿宋" w:cs="仿宋"/>
          <w:sz w:val="24"/>
          <w:lang w:val="en-US" w:eastAsia="zh-CN"/>
        </w:rPr>
        <w:t>水电工（高压）：3人；</w:t>
      </w:r>
    </w:p>
    <w:p w14:paraId="7A8D1222">
      <w:pPr>
        <w:numPr>
          <w:ilvl w:val="0"/>
          <w:numId w:val="2"/>
        </w:numPr>
        <w:kinsoku/>
        <w:wordWrap/>
        <w:overflowPunct/>
        <w:topLinePunct w:val="0"/>
        <w:autoSpaceDE/>
        <w:autoSpaceDN/>
        <w:bidi w:val="0"/>
        <w:adjustRightInd/>
        <w:snapToGrid/>
        <w:spacing w:line="360" w:lineRule="auto"/>
        <w:ind w:left="210" w:leftChars="0"/>
        <w:textAlignment w:val="auto"/>
        <w:rPr>
          <w:rFonts w:hint="default" w:ascii="仿宋" w:hAnsi="仿宋" w:eastAsia="仿宋" w:cs="仿宋"/>
          <w:sz w:val="24"/>
          <w:lang w:val="en-US" w:eastAsia="zh-CN"/>
        </w:rPr>
      </w:pPr>
      <w:r>
        <w:rPr>
          <w:rFonts w:hint="eastAsia" w:ascii="仿宋" w:hAnsi="仿宋" w:eastAsia="仿宋" w:cs="仿宋"/>
          <w:sz w:val="24"/>
          <w:lang w:val="en-US" w:eastAsia="zh-CN"/>
        </w:rPr>
        <w:t>水电工（低压）：8人；</w:t>
      </w:r>
    </w:p>
    <w:p w14:paraId="571FB8C5">
      <w:pPr>
        <w:numPr>
          <w:ilvl w:val="0"/>
          <w:numId w:val="2"/>
        </w:numPr>
        <w:kinsoku/>
        <w:wordWrap/>
        <w:overflowPunct/>
        <w:topLinePunct w:val="0"/>
        <w:autoSpaceDE/>
        <w:autoSpaceDN/>
        <w:bidi w:val="0"/>
        <w:adjustRightInd/>
        <w:snapToGrid/>
        <w:spacing w:line="360" w:lineRule="auto"/>
        <w:ind w:left="210" w:leftChars="0"/>
        <w:textAlignment w:val="auto"/>
        <w:rPr>
          <w:rFonts w:hint="default" w:ascii="仿宋" w:hAnsi="仿宋" w:eastAsia="仿宋" w:cs="仿宋"/>
          <w:sz w:val="24"/>
          <w:lang w:val="en-US" w:eastAsia="zh-CN"/>
        </w:rPr>
      </w:pPr>
      <w:r>
        <w:rPr>
          <w:rFonts w:hint="eastAsia" w:ascii="仿宋" w:hAnsi="仿宋" w:eastAsia="仿宋" w:cs="仿宋"/>
          <w:sz w:val="24"/>
          <w:lang w:val="en-US" w:eastAsia="zh-CN"/>
        </w:rPr>
        <w:t>综合维修工：5人；</w:t>
      </w:r>
    </w:p>
    <w:p w14:paraId="0576D0BD">
      <w:pPr>
        <w:numPr>
          <w:ilvl w:val="0"/>
          <w:numId w:val="0"/>
        </w:numPr>
        <w:kinsoku/>
        <w:wordWrap/>
        <w:overflowPunct/>
        <w:topLinePunct w:val="0"/>
        <w:autoSpaceDE/>
        <w:autoSpaceDN/>
        <w:bidi w:val="0"/>
        <w:adjustRightInd/>
        <w:snapToGrid/>
        <w:spacing w:line="360" w:lineRule="auto"/>
        <w:textAlignment w:val="auto"/>
        <w:rPr>
          <w:rFonts w:hint="default" w:ascii="仿宋" w:hAnsi="仿宋" w:eastAsia="仿宋" w:cs="仿宋"/>
          <w:sz w:val="24"/>
          <w:lang w:val="en-US" w:eastAsia="zh-CN"/>
        </w:rPr>
      </w:pPr>
    </w:p>
    <w:p w14:paraId="36368278">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118741C8">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08EE2492">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1F218DD7">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120E3994">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0D7E8348">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422DF2E4">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4FE26B15">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3C0C43A4">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7DF02CC0">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78E88263">
      <w:pPr>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24"/>
          <w:lang w:val="en-US" w:eastAsia="zh-CN"/>
        </w:rPr>
      </w:pPr>
    </w:p>
    <w:p w14:paraId="6FF9FAFE">
      <w:pPr>
        <w:numPr>
          <w:ilvl w:val="0"/>
          <w:numId w:val="0"/>
        </w:numPr>
        <w:kinsoku/>
        <w:wordWrap/>
        <w:overflowPunct/>
        <w:topLinePunct w:val="0"/>
        <w:autoSpaceDE/>
        <w:autoSpaceDN/>
        <w:bidi w:val="0"/>
        <w:adjustRightInd/>
        <w:snapToGrid/>
        <w:spacing w:line="360" w:lineRule="auto"/>
        <w:ind w:leftChars="0"/>
        <w:textAlignment w:val="auto"/>
        <w:rPr>
          <w:rFonts w:hint="eastAsia" w:ascii="仿宋" w:hAnsi="仿宋" w:eastAsia="仿宋" w:cs="仿宋"/>
          <w:sz w:val="24"/>
          <w:lang w:val="en-US" w:eastAsia="zh-CN"/>
        </w:rPr>
      </w:pPr>
    </w:p>
    <w:p w14:paraId="416CB71B">
      <w:pPr>
        <w:numPr>
          <w:ilvl w:val="0"/>
          <w:numId w:val="0"/>
        </w:numPr>
        <w:kinsoku/>
        <w:wordWrap/>
        <w:overflowPunct/>
        <w:topLinePunct w:val="0"/>
        <w:autoSpaceDE/>
        <w:autoSpaceDN/>
        <w:bidi w:val="0"/>
        <w:adjustRightInd/>
        <w:snapToGrid/>
        <w:spacing w:line="360" w:lineRule="auto"/>
        <w:ind w:leftChars="0"/>
        <w:textAlignment w:val="auto"/>
        <w:rPr>
          <w:rFonts w:hint="default" w:ascii="仿宋" w:hAnsi="仿宋" w:eastAsia="仿宋" w:cs="仿宋"/>
          <w:sz w:val="24"/>
          <w:lang w:val="en-US" w:eastAsia="zh-CN"/>
        </w:rPr>
      </w:pPr>
    </w:p>
    <w:p w14:paraId="212CC581">
      <w:pPr>
        <w:kinsoku/>
        <w:wordWrap/>
        <w:overflowPunct/>
        <w:topLinePunct w:val="0"/>
        <w:autoSpaceDE/>
        <w:autoSpaceDN/>
        <w:bidi w:val="0"/>
        <w:adjustRightInd/>
        <w:snapToGrid/>
        <w:spacing w:line="360" w:lineRule="auto"/>
        <w:textAlignment w:val="auto"/>
        <w:rPr>
          <w:rFonts w:hint="eastAsia" w:ascii="仿宋" w:hAnsi="仿宋" w:eastAsia="仿宋" w:cs="仿宋"/>
          <w:sz w:val="24"/>
        </w:rPr>
      </w:pPr>
    </w:p>
    <w:sectPr>
      <w:headerReference r:id="rId5" w:type="default"/>
      <w:footerReference r:id="rId6" w:type="default"/>
      <w:footerReference r:id="rId7" w:type="even"/>
      <w:pgSz w:w="11907" w:h="16840"/>
      <w:pgMar w:top="1134" w:right="1134" w:bottom="1134" w:left="113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S Gothic">
    <w:panose1 w:val="020B0609070205080204"/>
    <w:charset w:val="80"/>
    <w:family w:val="modern"/>
    <w:pitch w:val="default"/>
    <w:sig w:usb0="E00002FF" w:usb1="6AC7FDFB" w:usb2="08000012" w:usb3="00000000" w:csb0="4002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5F833A">
    <w:pPr>
      <w:pStyle w:val="12"/>
      <w:jc w:val="center"/>
    </w:pPr>
    <w:r>
      <w:fldChar w:fldCharType="begin"/>
    </w:r>
    <w:r>
      <w:instrText xml:space="preserve"> PAGE   \* MERGEFORMAT </w:instrText>
    </w:r>
    <w:r>
      <w:fldChar w:fldCharType="separate"/>
    </w:r>
    <w:r>
      <w:rPr>
        <w:lang w:val="zh-CN"/>
      </w:rPr>
      <w:t>7</w:t>
    </w:r>
    <w:r>
      <w:fldChar w:fldCharType="end"/>
    </w:r>
  </w:p>
  <w:p w14:paraId="7B6DF582">
    <w:pPr>
      <w:pStyle w:val="1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C12D8">
    <w:pPr>
      <w:pStyle w:val="12"/>
      <w:framePr w:wrap="around" w:vAnchor="text" w:hAnchor="margin" w:xAlign="right" w:y="1"/>
      <w:rPr>
        <w:rStyle w:val="21"/>
      </w:rPr>
    </w:pPr>
    <w:r>
      <w:fldChar w:fldCharType="begin"/>
    </w:r>
    <w:r>
      <w:rPr>
        <w:rStyle w:val="21"/>
      </w:rPr>
      <w:instrText xml:space="preserve">PAGE  </w:instrText>
    </w:r>
    <w:r>
      <w:fldChar w:fldCharType="separate"/>
    </w:r>
    <w:r>
      <w:rPr>
        <w:rStyle w:val="21"/>
      </w:rPr>
      <w:t>12</w:t>
    </w:r>
    <w:r>
      <w:fldChar w:fldCharType="end"/>
    </w:r>
  </w:p>
  <w:p w14:paraId="7572BC31">
    <w:pPr>
      <w:pStyle w:val="1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DBB6B">
    <w:pPr>
      <w:pStyle w:val="12"/>
      <w:framePr w:wrap="around" w:vAnchor="text" w:hAnchor="margin" w:xAlign="right" w:y="1"/>
      <w:rPr>
        <w:rStyle w:val="21"/>
      </w:rPr>
    </w:pPr>
    <w:r>
      <w:fldChar w:fldCharType="begin"/>
    </w:r>
    <w:r>
      <w:rPr>
        <w:rStyle w:val="21"/>
      </w:rPr>
      <w:instrText xml:space="preserve">PAGE  </w:instrText>
    </w:r>
    <w:r>
      <w:fldChar w:fldCharType="end"/>
    </w:r>
  </w:p>
  <w:p w14:paraId="27CE288E">
    <w:pPr>
      <w:pStyle w:val="12"/>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8884A">
    <w:pPr>
      <w:pStyle w:val="1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73857">
    <w:pPr>
      <w:pStyle w:val="1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45C872"/>
    <w:multiLevelType w:val="singleLevel"/>
    <w:tmpl w:val="F945C872"/>
    <w:lvl w:ilvl="0" w:tentative="0">
      <w:start w:val="1"/>
      <w:numFmt w:val="decimal"/>
      <w:suff w:val="nothing"/>
      <w:lvlText w:val="%1、"/>
      <w:lvlJc w:val="left"/>
      <w:pPr>
        <w:ind w:left="210"/>
      </w:pPr>
    </w:lvl>
  </w:abstractNum>
  <w:abstractNum w:abstractNumId="1">
    <w:nsid w:val="5D4570A4"/>
    <w:multiLevelType w:val="singleLevel"/>
    <w:tmpl w:val="5D4570A4"/>
    <w:lvl w:ilvl="0" w:tentative="0">
      <w:start w:val="1"/>
      <w:numFmt w:val="chineseCounting"/>
      <w:suff w:val="nothing"/>
      <w:lvlText w:val="%1、"/>
      <w:lvlJc w:val="left"/>
      <w:rPr>
        <w:rFonts w:hint="eastAsia"/>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rson w15:author="旷野">
    <w15:presenceInfo w15:providerId="WPS Office" w15:userId="4024770290"/>
  </w15:person>
  <w15:person w15:author="Worker.">
    <w15:presenceInfo w15:providerId="None" w15:userId="Work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5"/>
  <w:hyphenationZone w:val="360"/>
  <w:doNotHyphenateCaps/>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k4ZTIyMmJmZTk5ZDljNzgxZDlmMzIxM2Y1M2UxOWUifQ=="/>
  </w:docVars>
  <w:rsids>
    <w:rsidRoot w:val="00B458DB"/>
    <w:rsid w:val="0000095A"/>
    <w:rsid w:val="00001FF4"/>
    <w:rsid w:val="000044D4"/>
    <w:rsid w:val="00005CC7"/>
    <w:rsid w:val="0001075E"/>
    <w:rsid w:val="0001284A"/>
    <w:rsid w:val="00017C76"/>
    <w:rsid w:val="000271FF"/>
    <w:rsid w:val="00043CD1"/>
    <w:rsid w:val="00070AA1"/>
    <w:rsid w:val="00075464"/>
    <w:rsid w:val="00084CFD"/>
    <w:rsid w:val="000855AA"/>
    <w:rsid w:val="00090AA2"/>
    <w:rsid w:val="000A4F2A"/>
    <w:rsid w:val="000C35C3"/>
    <w:rsid w:val="000E156D"/>
    <w:rsid w:val="000E50DC"/>
    <w:rsid w:val="000E693C"/>
    <w:rsid w:val="000E77C9"/>
    <w:rsid w:val="000F1E00"/>
    <w:rsid w:val="000F24B0"/>
    <w:rsid w:val="001007EA"/>
    <w:rsid w:val="0010375C"/>
    <w:rsid w:val="00104D23"/>
    <w:rsid w:val="001050EE"/>
    <w:rsid w:val="00117D01"/>
    <w:rsid w:val="001371D9"/>
    <w:rsid w:val="00145316"/>
    <w:rsid w:val="00155E6E"/>
    <w:rsid w:val="00160919"/>
    <w:rsid w:val="00160CAD"/>
    <w:rsid w:val="00170359"/>
    <w:rsid w:val="001833FF"/>
    <w:rsid w:val="001A49CE"/>
    <w:rsid w:val="001B33F1"/>
    <w:rsid w:val="001C269F"/>
    <w:rsid w:val="001C4EBD"/>
    <w:rsid w:val="001D6FF7"/>
    <w:rsid w:val="001E0C06"/>
    <w:rsid w:val="001E2E25"/>
    <w:rsid w:val="001E6B40"/>
    <w:rsid w:val="001F3774"/>
    <w:rsid w:val="00210302"/>
    <w:rsid w:val="002118B4"/>
    <w:rsid w:val="00220A67"/>
    <w:rsid w:val="00222A8B"/>
    <w:rsid w:val="0022617E"/>
    <w:rsid w:val="00226982"/>
    <w:rsid w:val="002456C0"/>
    <w:rsid w:val="002467AE"/>
    <w:rsid w:val="002553E6"/>
    <w:rsid w:val="002639C3"/>
    <w:rsid w:val="0027683A"/>
    <w:rsid w:val="00281F8C"/>
    <w:rsid w:val="00283F11"/>
    <w:rsid w:val="00293D07"/>
    <w:rsid w:val="002951FE"/>
    <w:rsid w:val="002A1662"/>
    <w:rsid w:val="002A324A"/>
    <w:rsid w:val="002A568D"/>
    <w:rsid w:val="002B1F9A"/>
    <w:rsid w:val="002C5314"/>
    <w:rsid w:val="002C7859"/>
    <w:rsid w:val="002D0EDD"/>
    <w:rsid w:val="002D23A1"/>
    <w:rsid w:val="002D24E6"/>
    <w:rsid w:val="002D7EAB"/>
    <w:rsid w:val="002E2180"/>
    <w:rsid w:val="002E22B4"/>
    <w:rsid w:val="00302B1B"/>
    <w:rsid w:val="00310ADA"/>
    <w:rsid w:val="003165E9"/>
    <w:rsid w:val="0033120C"/>
    <w:rsid w:val="0033122F"/>
    <w:rsid w:val="00336B9B"/>
    <w:rsid w:val="003603BC"/>
    <w:rsid w:val="003609D5"/>
    <w:rsid w:val="0037104A"/>
    <w:rsid w:val="003760CC"/>
    <w:rsid w:val="003952F9"/>
    <w:rsid w:val="003B4478"/>
    <w:rsid w:val="003C0F91"/>
    <w:rsid w:val="003D1EAB"/>
    <w:rsid w:val="003D5EA7"/>
    <w:rsid w:val="003F2FFB"/>
    <w:rsid w:val="003F30B2"/>
    <w:rsid w:val="003F4D93"/>
    <w:rsid w:val="00425320"/>
    <w:rsid w:val="0043276B"/>
    <w:rsid w:val="0043647A"/>
    <w:rsid w:val="00457B60"/>
    <w:rsid w:val="00464108"/>
    <w:rsid w:val="00487920"/>
    <w:rsid w:val="00491167"/>
    <w:rsid w:val="004B0E90"/>
    <w:rsid w:val="004D3E86"/>
    <w:rsid w:val="004F5BA7"/>
    <w:rsid w:val="004F6E97"/>
    <w:rsid w:val="004F7291"/>
    <w:rsid w:val="0050398F"/>
    <w:rsid w:val="00511378"/>
    <w:rsid w:val="00516387"/>
    <w:rsid w:val="00516D63"/>
    <w:rsid w:val="00524048"/>
    <w:rsid w:val="005247F4"/>
    <w:rsid w:val="00543240"/>
    <w:rsid w:val="00555B94"/>
    <w:rsid w:val="00557CF9"/>
    <w:rsid w:val="005717FF"/>
    <w:rsid w:val="0057641A"/>
    <w:rsid w:val="005822ED"/>
    <w:rsid w:val="00583E90"/>
    <w:rsid w:val="005B31CB"/>
    <w:rsid w:val="005C3461"/>
    <w:rsid w:val="005E3908"/>
    <w:rsid w:val="005E5FBA"/>
    <w:rsid w:val="005E7BDB"/>
    <w:rsid w:val="005F4352"/>
    <w:rsid w:val="006006DA"/>
    <w:rsid w:val="00602A31"/>
    <w:rsid w:val="00603864"/>
    <w:rsid w:val="00605467"/>
    <w:rsid w:val="00607DE3"/>
    <w:rsid w:val="00623ED8"/>
    <w:rsid w:val="006336C1"/>
    <w:rsid w:val="006338CD"/>
    <w:rsid w:val="00637E31"/>
    <w:rsid w:val="00640A42"/>
    <w:rsid w:val="00650658"/>
    <w:rsid w:val="00665CA2"/>
    <w:rsid w:val="00691A2B"/>
    <w:rsid w:val="0069729C"/>
    <w:rsid w:val="006A2D3B"/>
    <w:rsid w:val="006B118A"/>
    <w:rsid w:val="006B3A01"/>
    <w:rsid w:val="006C04F8"/>
    <w:rsid w:val="006C24F5"/>
    <w:rsid w:val="006C781B"/>
    <w:rsid w:val="006D1D54"/>
    <w:rsid w:val="006D31CD"/>
    <w:rsid w:val="006F3A1A"/>
    <w:rsid w:val="00700183"/>
    <w:rsid w:val="007047BC"/>
    <w:rsid w:val="007151E6"/>
    <w:rsid w:val="007220D4"/>
    <w:rsid w:val="007306C9"/>
    <w:rsid w:val="00742B4F"/>
    <w:rsid w:val="00751D2C"/>
    <w:rsid w:val="00756960"/>
    <w:rsid w:val="007608B6"/>
    <w:rsid w:val="00761E13"/>
    <w:rsid w:val="00762B15"/>
    <w:rsid w:val="007635E2"/>
    <w:rsid w:val="00767606"/>
    <w:rsid w:val="007705F8"/>
    <w:rsid w:val="00771D4B"/>
    <w:rsid w:val="007727C8"/>
    <w:rsid w:val="00774A6B"/>
    <w:rsid w:val="00774C81"/>
    <w:rsid w:val="007836EB"/>
    <w:rsid w:val="00790BE0"/>
    <w:rsid w:val="007A1D67"/>
    <w:rsid w:val="007A23D3"/>
    <w:rsid w:val="007B7C50"/>
    <w:rsid w:val="007C507B"/>
    <w:rsid w:val="007C7ED5"/>
    <w:rsid w:val="007D13DE"/>
    <w:rsid w:val="007F37E2"/>
    <w:rsid w:val="00813F5C"/>
    <w:rsid w:val="00815416"/>
    <w:rsid w:val="008225A1"/>
    <w:rsid w:val="0082292B"/>
    <w:rsid w:val="00834293"/>
    <w:rsid w:val="00841685"/>
    <w:rsid w:val="00855048"/>
    <w:rsid w:val="00857914"/>
    <w:rsid w:val="00861D61"/>
    <w:rsid w:val="00865379"/>
    <w:rsid w:val="00870FFC"/>
    <w:rsid w:val="008716C6"/>
    <w:rsid w:val="008765A0"/>
    <w:rsid w:val="00886895"/>
    <w:rsid w:val="00891261"/>
    <w:rsid w:val="00895CB4"/>
    <w:rsid w:val="008B1433"/>
    <w:rsid w:val="008B352E"/>
    <w:rsid w:val="008B5A8B"/>
    <w:rsid w:val="008C395E"/>
    <w:rsid w:val="008C5142"/>
    <w:rsid w:val="008F0D5D"/>
    <w:rsid w:val="008F4EF5"/>
    <w:rsid w:val="0090545B"/>
    <w:rsid w:val="009130B4"/>
    <w:rsid w:val="00915AAA"/>
    <w:rsid w:val="0091740A"/>
    <w:rsid w:val="00920AD5"/>
    <w:rsid w:val="00932A71"/>
    <w:rsid w:val="00933DF7"/>
    <w:rsid w:val="009374D3"/>
    <w:rsid w:val="00946B9F"/>
    <w:rsid w:val="00952B8B"/>
    <w:rsid w:val="009544E3"/>
    <w:rsid w:val="00960256"/>
    <w:rsid w:val="0098519A"/>
    <w:rsid w:val="00985582"/>
    <w:rsid w:val="009863E5"/>
    <w:rsid w:val="00987888"/>
    <w:rsid w:val="00994821"/>
    <w:rsid w:val="00994AC7"/>
    <w:rsid w:val="00994BD2"/>
    <w:rsid w:val="009969B9"/>
    <w:rsid w:val="009A2558"/>
    <w:rsid w:val="009A6D17"/>
    <w:rsid w:val="009D0C13"/>
    <w:rsid w:val="009D45FD"/>
    <w:rsid w:val="009E21C5"/>
    <w:rsid w:val="00A010EB"/>
    <w:rsid w:val="00A04B51"/>
    <w:rsid w:val="00A058FD"/>
    <w:rsid w:val="00A14BB4"/>
    <w:rsid w:val="00A24682"/>
    <w:rsid w:val="00A24E62"/>
    <w:rsid w:val="00A302C6"/>
    <w:rsid w:val="00A31A58"/>
    <w:rsid w:val="00A356CC"/>
    <w:rsid w:val="00A45280"/>
    <w:rsid w:val="00A467F3"/>
    <w:rsid w:val="00A476DF"/>
    <w:rsid w:val="00A47753"/>
    <w:rsid w:val="00A564C9"/>
    <w:rsid w:val="00A56AEF"/>
    <w:rsid w:val="00A56B98"/>
    <w:rsid w:val="00A80F46"/>
    <w:rsid w:val="00A96E32"/>
    <w:rsid w:val="00AB18B8"/>
    <w:rsid w:val="00AC6FAC"/>
    <w:rsid w:val="00AC7956"/>
    <w:rsid w:val="00AD135C"/>
    <w:rsid w:val="00AD2E8B"/>
    <w:rsid w:val="00AD433A"/>
    <w:rsid w:val="00AD613D"/>
    <w:rsid w:val="00B02523"/>
    <w:rsid w:val="00B05192"/>
    <w:rsid w:val="00B12259"/>
    <w:rsid w:val="00B12470"/>
    <w:rsid w:val="00B168BD"/>
    <w:rsid w:val="00B32FE8"/>
    <w:rsid w:val="00B436ED"/>
    <w:rsid w:val="00B458DB"/>
    <w:rsid w:val="00B54749"/>
    <w:rsid w:val="00B84E7E"/>
    <w:rsid w:val="00B85577"/>
    <w:rsid w:val="00B87A4D"/>
    <w:rsid w:val="00BA0D1B"/>
    <w:rsid w:val="00BA302E"/>
    <w:rsid w:val="00BA3544"/>
    <w:rsid w:val="00BB2925"/>
    <w:rsid w:val="00BC6F37"/>
    <w:rsid w:val="00BE0B59"/>
    <w:rsid w:val="00BF4387"/>
    <w:rsid w:val="00C00018"/>
    <w:rsid w:val="00C16E8C"/>
    <w:rsid w:val="00C27135"/>
    <w:rsid w:val="00C5217D"/>
    <w:rsid w:val="00C61FAC"/>
    <w:rsid w:val="00C6777E"/>
    <w:rsid w:val="00C80148"/>
    <w:rsid w:val="00C8098E"/>
    <w:rsid w:val="00C83E0B"/>
    <w:rsid w:val="00C91335"/>
    <w:rsid w:val="00C9262B"/>
    <w:rsid w:val="00CA0E2E"/>
    <w:rsid w:val="00CA302E"/>
    <w:rsid w:val="00CA50D1"/>
    <w:rsid w:val="00CA6739"/>
    <w:rsid w:val="00CC0A37"/>
    <w:rsid w:val="00CD1321"/>
    <w:rsid w:val="00CF2819"/>
    <w:rsid w:val="00CF3B8A"/>
    <w:rsid w:val="00CF6F1E"/>
    <w:rsid w:val="00CF7336"/>
    <w:rsid w:val="00D00C53"/>
    <w:rsid w:val="00D00DEA"/>
    <w:rsid w:val="00D034F6"/>
    <w:rsid w:val="00D04CB3"/>
    <w:rsid w:val="00D07477"/>
    <w:rsid w:val="00D26924"/>
    <w:rsid w:val="00D27489"/>
    <w:rsid w:val="00D2760A"/>
    <w:rsid w:val="00D51CE1"/>
    <w:rsid w:val="00D5417C"/>
    <w:rsid w:val="00D61504"/>
    <w:rsid w:val="00D61CCE"/>
    <w:rsid w:val="00D70724"/>
    <w:rsid w:val="00D76FA5"/>
    <w:rsid w:val="00D92A2D"/>
    <w:rsid w:val="00DA1B74"/>
    <w:rsid w:val="00DA3EC5"/>
    <w:rsid w:val="00DA49EB"/>
    <w:rsid w:val="00DA76D8"/>
    <w:rsid w:val="00DB728F"/>
    <w:rsid w:val="00DC6078"/>
    <w:rsid w:val="00DD2612"/>
    <w:rsid w:val="00DE1E50"/>
    <w:rsid w:val="00DE229A"/>
    <w:rsid w:val="00DE2510"/>
    <w:rsid w:val="00DE5B33"/>
    <w:rsid w:val="00DF4D03"/>
    <w:rsid w:val="00E043EE"/>
    <w:rsid w:val="00E045FF"/>
    <w:rsid w:val="00E07D1A"/>
    <w:rsid w:val="00E11C20"/>
    <w:rsid w:val="00E15940"/>
    <w:rsid w:val="00E17EA4"/>
    <w:rsid w:val="00E32A70"/>
    <w:rsid w:val="00E3377D"/>
    <w:rsid w:val="00E40EA0"/>
    <w:rsid w:val="00E46816"/>
    <w:rsid w:val="00E46F98"/>
    <w:rsid w:val="00E62583"/>
    <w:rsid w:val="00E63B00"/>
    <w:rsid w:val="00E6555A"/>
    <w:rsid w:val="00E667F4"/>
    <w:rsid w:val="00E74AF0"/>
    <w:rsid w:val="00E80CAA"/>
    <w:rsid w:val="00E950C5"/>
    <w:rsid w:val="00EA058C"/>
    <w:rsid w:val="00EA7B8A"/>
    <w:rsid w:val="00EB3A57"/>
    <w:rsid w:val="00ED4210"/>
    <w:rsid w:val="00EF449C"/>
    <w:rsid w:val="00EF4E0C"/>
    <w:rsid w:val="00F006BE"/>
    <w:rsid w:val="00F01F5F"/>
    <w:rsid w:val="00F01F87"/>
    <w:rsid w:val="00F05238"/>
    <w:rsid w:val="00F074D7"/>
    <w:rsid w:val="00F146CB"/>
    <w:rsid w:val="00F1709F"/>
    <w:rsid w:val="00F40BB5"/>
    <w:rsid w:val="00F410DC"/>
    <w:rsid w:val="00F43533"/>
    <w:rsid w:val="00F44C81"/>
    <w:rsid w:val="00F44FE3"/>
    <w:rsid w:val="00F50910"/>
    <w:rsid w:val="00F56420"/>
    <w:rsid w:val="00F67BA4"/>
    <w:rsid w:val="00F83B6B"/>
    <w:rsid w:val="00FA00C1"/>
    <w:rsid w:val="00FB1834"/>
    <w:rsid w:val="00FB36BE"/>
    <w:rsid w:val="00FC378C"/>
    <w:rsid w:val="00FC5E9F"/>
    <w:rsid w:val="00FC6A8F"/>
    <w:rsid w:val="00FE0A04"/>
    <w:rsid w:val="00FE2C06"/>
    <w:rsid w:val="00FF32BD"/>
    <w:rsid w:val="00FF5946"/>
    <w:rsid w:val="01EB45BC"/>
    <w:rsid w:val="02774B2F"/>
    <w:rsid w:val="033B34F3"/>
    <w:rsid w:val="03C04A14"/>
    <w:rsid w:val="03C4523A"/>
    <w:rsid w:val="044F0706"/>
    <w:rsid w:val="04B862AB"/>
    <w:rsid w:val="05634469"/>
    <w:rsid w:val="060914B4"/>
    <w:rsid w:val="060A6FDB"/>
    <w:rsid w:val="083245C7"/>
    <w:rsid w:val="08614263"/>
    <w:rsid w:val="08A273E3"/>
    <w:rsid w:val="09630EDC"/>
    <w:rsid w:val="0AA00DF8"/>
    <w:rsid w:val="0AF3628F"/>
    <w:rsid w:val="0BB66463"/>
    <w:rsid w:val="0C664690"/>
    <w:rsid w:val="0CC078F8"/>
    <w:rsid w:val="0DB8556E"/>
    <w:rsid w:val="0E545297"/>
    <w:rsid w:val="0F137279"/>
    <w:rsid w:val="0F531148"/>
    <w:rsid w:val="0F73799F"/>
    <w:rsid w:val="0F9F0794"/>
    <w:rsid w:val="0FBA737B"/>
    <w:rsid w:val="0FDF6DE2"/>
    <w:rsid w:val="10321608"/>
    <w:rsid w:val="10CB7366"/>
    <w:rsid w:val="11521492"/>
    <w:rsid w:val="116C6D9B"/>
    <w:rsid w:val="11B00A36"/>
    <w:rsid w:val="13160D6D"/>
    <w:rsid w:val="1332191F"/>
    <w:rsid w:val="14103A0E"/>
    <w:rsid w:val="15563534"/>
    <w:rsid w:val="15D942D4"/>
    <w:rsid w:val="15FA5C7E"/>
    <w:rsid w:val="16753FFC"/>
    <w:rsid w:val="168F3854"/>
    <w:rsid w:val="174068C1"/>
    <w:rsid w:val="183B7BF0"/>
    <w:rsid w:val="18DF42F7"/>
    <w:rsid w:val="1C1F5136"/>
    <w:rsid w:val="1C6E7E6B"/>
    <w:rsid w:val="1CBE668F"/>
    <w:rsid w:val="1CFA16FF"/>
    <w:rsid w:val="1D821497"/>
    <w:rsid w:val="1E1265D5"/>
    <w:rsid w:val="1ECE074D"/>
    <w:rsid w:val="1F453821"/>
    <w:rsid w:val="1F86443F"/>
    <w:rsid w:val="1FB26EC1"/>
    <w:rsid w:val="20BE320C"/>
    <w:rsid w:val="20EE157B"/>
    <w:rsid w:val="215F4227"/>
    <w:rsid w:val="217A2074"/>
    <w:rsid w:val="21A86451"/>
    <w:rsid w:val="21D44D8B"/>
    <w:rsid w:val="21D95180"/>
    <w:rsid w:val="22140E92"/>
    <w:rsid w:val="22CF2CE6"/>
    <w:rsid w:val="239C706C"/>
    <w:rsid w:val="23D902C0"/>
    <w:rsid w:val="24881DE9"/>
    <w:rsid w:val="255975AA"/>
    <w:rsid w:val="25721B3B"/>
    <w:rsid w:val="262652CF"/>
    <w:rsid w:val="27E17743"/>
    <w:rsid w:val="27E40C75"/>
    <w:rsid w:val="2895052E"/>
    <w:rsid w:val="294F160A"/>
    <w:rsid w:val="2ACB6960"/>
    <w:rsid w:val="2B193698"/>
    <w:rsid w:val="2B2772E9"/>
    <w:rsid w:val="2E0B3A7A"/>
    <w:rsid w:val="2E280E3A"/>
    <w:rsid w:val="2E7D7A9A"/>
    <w:rsid w:val="2F416D1A"/>
    <w:rsid w:val="310E69F2"/>
    <w:rsid w:val="31833619"/>
    <w:rsid w:val="31B1462B"/>
    <w:rsid w:val="31BE0AF5"/>
    <w:rsid w:val="31FB35FD"/>
    <w:rsid w:val="32987598"/>
    <w:rsid w:val="329F0927"/>
    <w:rsid w:val="347B0F20"/>
    <w:rsid w:val="35337105"/>
    <w:rsid w:val="35E86141"/>
    <w:rsid w:val="36001C15"/>
    <w:rsid w:val="36C75B5F"/>
    <w:rsid w:val="37335AE2"/>
    <w:rsid w:val="377F5FBA"/>
    <w:rsid w:val="386817BB"/>
    <w:rsid w:val="38C70290"/>
    <w:rsid w:val="38F8669B"/>
    <w:rsid w:val="393E0E10"/>
    <w:rsid w:val="396E1053"/>
    <w:rsid w:val="3A4C2E2C"/>
    <w:rsid w:val="3AB53FB2"/>
    <w:rsid w:val="3B4756B8"/>
    <w:rsid w:val="3B6C3370"/>
    <w:rsid w:val="3C090BBF"/>
    <w:rsid w:val="3CF97FE9"/>
    <w:rsid w:val="3E8250DF"/>
    <w:rsid w:val="3FD339BE"/>
    <w:rsid w:val="40296E63"/>
    <w:rsid w:val="402B55A8"/>
    <w:rsid w:val="406311E6"/>
    <w:rsid w:val="40A67141"/>
    <w:rsid w:val="41F8595E"/>
    <w:rsid w:val="424B3CDF"/>
    <w:rsid w:val="42770977"/>
    <w:rsid w:val="42A95E98"/>
    <w:rsid w:val="43291B47"/>
    <w:rsid w:val="43946E15"/>
    <w:rsid w:val="43FA0795"/>
    <w:rsid w:val="447119F7"/>
    <w:rsid w:val="44BF6C07"/>
    <w:rsid w:val="44E77E31"/>
    <w:rsid w:val="451E1B7F"/>
    <w:rsid w:val="453018B3"/>
    <w:rsid w:val="453F53B3"/>
    <w:rsid w:val="459B31D0"/>
    <w:rsid w:val="45FA6B4A"/>
    <w:rsid w:val="461B1C1B"/>
    <w:rsid w:val="462C20F9"/>
    <w:rsid w:val="46D06EA9"/>
    <w:rsid w:val="47046B53"/>
    <w:rsid w:val="476D46F8"/>
    <w:rsid w:val="47D66741"/>
    <w:rsid w:val="48B031BB"/>
    <w:rsid w:val="48FF75D2"/>
    <w:rsid w:val="49DC0A9D"/>
    <w:rsid w:val="4ADA0994"/>
    <w:rsid w:val="4AEB42B2"/>
    <w:rsid w:val="4B3A2B43"/>
    <w:rsid w:val="4CAD2B61"/>
    <w:rsid w:val="4E3441C2"/>
    <w:rsid w:val="4E4D0DDF"/>
    <w:rsid w:val="4EDA3E36"/>
    <w:rsid w:val="4F881363"/>
    <w:rsid w:val="4FB70C06"/>
    <w:rsid w:val="50A032D0"/>
    <w:rsid w:val="50A20EC8"/>
    <w:rsid w:val="51850890"/>
    <w:rsid w:val="52302877"/>
    <w:rsid w:val="524B7D2C"/>
    <w:rsid w:val="525564B4"/>
    <w:rsid w:val="52AB7CDE"/>
    <w:rsid w:val="52B31C05"/>
    <w:rsid w:val="52E2243E"/>
    <w:rsid w:val="53373E0C"/>
    <w:rsid w:val="541303D5"/>
    <w:rsid w:val="54414F42"/>
    <w:rsid w:val="54465C9E"/>
    <w:rsid w:val="556C5FEF"/>
    <w:rsid w:val="576158FB"/>
    <w:rsid w:val="577949F3"/>
    <w:rsid w:val="57FD73D2"/>
    <w:rsid w:val="58AE5BBB"/>
    <w:rsid w:val="5A1C51EE"/>
    <w:rsid w:val="5A386912"/>
    <w:rsid w:val="5A712E89"/>
    <w:rsid w:val="5AA92E05"/>
    <w:rsid w:val="5D255B28"/>
    <w:rsid w:val="5E4F2452"/>
    <w:rsid w:val="5E602469"/>
    <w:rsid w:val="5EB07D9B"/>
    <w:rsid w:val="60785647"/>
    <w:rsid w:val="60E67CF3"/>
    <w:rsid w:val="61AA389D"/>
    <w:rsid w:val="626A1B08"/>
    <w:rsid w:val="62744735"/>
    <w:rsid w:val="62AD7C47"/>
    <w:rsid w:val="62D23868"/>
    <w:rsid w:val="62D71F9D"/>
    <w:rsid w:val="63196171"/>
    <w:rsid w:val="644C3849"/>
    <w:rsid w:val="65815AE7"/>
    <w:rsid w:val="6623581E"/>
    <w:rsid w:val="6759214B"/>
    <w:rsid w:val="67C069D4"/>
    <w:rsid w:val="67D0065F"/>
    <w:rsid w:val="69036813"/>
    <w:rsid w:val="6940349C"/>
    <w:rsid w:val="6965418F"/>
    <w:rsid w:val="69C935B8"/>
    <w:rsid w:val="69D844DB"/>
    <w:rsid w:val="6A2021EE"/>
    <w:rsid w:val="6B6058ED"/>
    <w:rsid w:val="6BF40694"/>
    <w:rsid w:val="6C5C00D6"/>
    <w:rsid w:val="6C7F6046"/>
    <w:rsid w:val="6CD96208"/>
    <w:rsid w:val="6DBD3434"/>
    <w:rsid w:val="6ECD649D"/>
    <w:rsid w:val="6FFE1674"/>
    <w:rsid w:val="70671D7D"/>
    <w:rsid w:val="70E17439"/>
    <w:rsid w:val="71D7083C"/>
    <w:rsid w:val="722C6DDA"/>
    <w:rsid w:val="730D6C0C"/>
    <w:rsid w:val="73F163E8"/>
    <w:rsid w:val="74065EC3"/>
    <w:rsid w:val="75505D5D"/>
    <w:rsid w:val="75826DED"/>
    <w:rsid w:val="75FB7448"/>
    <w:rsid w:val="75FD456D"/>
    <w:rsid w:val="76AE4A27"/>
    <w:rsid w:val="76B30C4A"/>
    <w:rsid w:val="773C186D"/>
    <w:rsid w:val="77FF5913"/>
    <w:rsid w:val="783E7867"/>
    <w:rsid w:val="78AD0549"/>
    <w:rsid w:val="78B5237A"/>
    <w:rsid w:val="797548C0"/>
    <w:rsid w:val="7AC04A77"/>
    <w:rsid w:val="7C0B3F04"/>
    <w:rsid w:val="7C6163DF"/>
    <w:rsid w:val="7E8D6E52"/>
    <w:rsid w:val="7F032C7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MS Gothic" w:cs="MS Gothic"/>
      <w:kern w:val="2"/>
      <w:sz w:val="21"/>
      <w:szCs w:val="21"/>
      <w:lang w:val="en-US" w:eastAsia="zh-CN" w:bidi="ar-SA"/>
    </w:rPr>
  </w:style>
  <w:style w:type="paragraph" w:styleId="2">
    <w:name w:val="heading 2"/>
    <w:basedOn w:val="1"/>
    <w:next w:val="1"/>
    <w:link w:val="22"/>
    <w:qFormat/>
    <w:uiPriority w:val="0"/>
    <w:pPr>
      <w:keepNext/>
      <w:keepLines/>
      <w:spacing w:before="260" w:after="260" w:line="416" w:lineRule="auto"/>
      <w:outlineLvl w:val="1"/>
    </w:pPr>
    <w:rPr>
      <w:rFonts w:ascii="Arial" w:hAnsi="Arial" w:eastAsia="黑体" w:cs="Times New Roman"/>
      <w:b/>
      <w:bCs/>
      <w:sz w:val="30"/>
      <w:szCs w:val="32"/>
    </w:rPr>
  </w:style>
  <w:style w:type="paragraph" w:styleId="3">
    <w:name w:val="heading 3"/>
    <w:basedOn w:val="1"/>
    <w:next w:val="1"/>
    <w:link w:val="23"/>
    <w:qFormat/>
    <w:uiPriority w:val="0"/>
    <w:pPr>
      <w:keepNext/>
      <w:keepLines/>
      <w:spacing w:before="260" w:after="260" w:line="416" w:lineRule="auto"/>
      <w:outlineLvl w:val="2"/>
    </w:pPr>
    <w:rPr>
      <w:rFonts w:ascii="宋体" w:hAnsi="宋体" w:eastAsia="黑体" w:cs="Times New Roman"/>
      <w:b/>
      <w:bCs/>
      <w:sz w:val="32"/>
      <w:szCs w:val="32"/>
    </w:rPr>
  </w:style>
  <w:style w:type="character" w:default="1" w:styleId="20">
    <w:name w:val="Default Paragraph Font"/>
    <w:qFormat/>
    <w:uiPriority w:val="0"/>
  </w:style>
  <w:style w:type="table" w:default="1" w:styleId="18">
    <w:name w:val="Normal Table"/>
    <w:semiHidden/>
    <w:qFormat/>
    <w:uiPriority w:val="0"/>
    <w:tblPr>
      <w:tblCellMar>
        <w:top w:w="0" w:type="dxa"/>
        <w:left w:w="108" w:type="dxa"/>
        <w:bottom w:w="0" w:type="dxa"/>
        <w:right w:w="108" w:type="dxa"/>
      </w:tblCellMar>
    </w:tblPr>
  </w:style>
  <w:style w:type="paragraph" w:styleId="4">
    <w:name w:val="List 3"/>
    <w:basedOn w:val="1"/>
    <w:qFormat/>
    <w:uiPriority w:val="0"/>
    <w:pPr>
      <w:ind w:left="100" w:leftChars="400" w:hanging="200" w:hangingChars="200"/>
    </w:pPr>
    <w:rPr>
      <w:rFonts w:eastAsia="宋体" w:cs="Times New Roman"/>
      <w:szCs w:val="20"/>
    </w:rPr>
  </w:style>
  <w:style w:type="paragraph" w:styleId="5">
    <w:name w:val="annotation text"/>
    <w:basedOn w:val="1"/>
    <w:qFormat/>
    <w:uiPriority w:val="0"/>
    <w:pPr>
      <w:jc w:val="left"/>
    </w:pPr>
  </w:style>
  <w:style w:type="paragraph" w:styleId="6">
    <w:name w:val="Body Text"/>
    <w:basedOn w:val="1"/>
    <w:qFormat/>
    <w:uiPriority w:val="0"/>
    <w:pPr>
      <w:spacing w:after="120"/>
    </w:pPr>
    <w:rPr>
      <w:rFonts w:eastAsia="宋体" w:cs="Times New Roman"/>
      <w:szCs w:val="20"/>
    </w:rPr>
  </w:style>
  <w:style w:type="paragraph" w:styleId="7">
    <w:name w:val="Body Text Indent"/>
    <w:basedOn w:val="1"/>
    <w:qFormat/>
    <w:uiPriority w:val="0"/>
    <w:pPr>
      <w:spacing w:after="120"/>
      <w:ind w:left="420" w:leftChars="200"/>
    </w:pPr>
  </w:style>
  <w:style w:type="paragraph" w:styleId="8">
    <w:name w:val="List 2"/>
    <w:basedOn w:val="1"/>
    <w:qFormat/>
    <w:uiPriority w:val="0"/>
    <w:pPr>
      <w:ind w:left="100" w:leftChars="200" w:hanging="200" w:hangingChars="200"/>
    </w:pPr>
    <w:rPr>
      <w:rFonts w:eastAsia="宋体" w:cs="Times New Roman"/>
      <w:szCs w:val="20"/>
    </w:rPr>
  </w:style>
  <w:style w:type="paragraph" w:styleId="9">
    <w:name w:val="List Continue"/>
    <w:basedOn w:val="1"/>
    <w:qFormat/>
    <w:uiPriority w:val="0"/>
    <w:pPr>
      <w:spacing w:after="120"/>
      <w:ind w:left="420" w:leftChars="200"/>
    </w:pPr>
    <w:rPr>
      <w:rFonts w:eastAsia="宋体" w:cs="Times New Roman"/>
      <w:szCs w:val="20"/>
    </w:rPr>
  </w:style>
  <w:style w:type="paragraph" w:styleId="10">
    <w:name w:val="Plain Text"/>
    <w:basedOn w:val="1"/>
    <w:link w:val="24"/>
    <w:qFormat/>
    <w:uiPriority w:val="99"/>
    <w:rPr>
      <w:rFonts w:ascii="宋体" w:hAnsi="Courier New" w:eastAsia="宋体" w:cs="Times New Roman"/>
      <w:color w:val="000000"/>
      <w:szCs w:val="22"/>
    </w:rPr>
  </w:style>
  <w:style w:type="paragraph" w:styleId="11">
    <w:name w:val="Balloon Text"/>
    <w:basedOn w:val="1"/>
    <w:semiHidden/>
    <w:qFormat/>
    <w:uiPriority w:val="0"/>
    <w:rPr>
      <w:sz w:val="18"/>
      <w:szCs w:val="18"/>
    </w:rPr>
  </w:style>
  <w:style w:type="paragraph" w:styleId="12">
    <w:name w:val="footer"/>
    <w:basedOn w:val="1"/>
    <w:qFormat/>
    <w:uiPriority w:val="0"/>
    <w:pPr>
      <w:tabs>
        <w:tab w:val="center" w:pos="4153"/>
        <w:tab w:val="right" w:pos="8306"/>
      </w:tabs>
      <w:snapToGrid w:val="0"/>
      <w:jc w:val="left"/>
    </w:pPr>
    <w:rPr>
      <w:sz w:val="18"/>
      <w:szCs w:val="18"/>
    </w:rPr>
  </w:style>
  <w:style w:type="paragraph" w:styleId="13">
    <w:name w:val="header"/>
    <w:basedOn w:val="1"/>
    <w:link w:val="25"/>
    <w:qFormat/>
    <w:uiPriority w:val="0"/>
    <w:pPr>
      <w:pBdr>
        <w:bottom w:val="single" w:color="auto" w:sz="6" w:space="1"/>
      </w:pBdr>
      <w:tabs>
        <w:tab w:val="center" w:pos="4153"/>
        <w:tab w:val="right" w:pos="8306"/>
      </w:tabs>
      <w:snapToGrid w:val="0"/>
      <w:jc w:val="center"/>
    </w:pPr>
    <w:rPr>
      <w:sz w:val="18"/>
      <w:szCs w:val="18"/>
    </w:rPr>
  </w:style>
  <w:style w:type="paragraph" w:styleId="14">
    <w:name w:val="List"/>
    <w:basedOn w:val="1"/>
    <w:qFormat/>
    <w:uiPriority w:val="0"/>
    <w:pPr>
      <w:ind w:left="200" w:hanging="200" w:hangingChars="200"/>
    </w:pPr>
    <w:rPr>
      <w:rFonts w:eastAsia="宋体" w:cs="Times New Roman"/>
      <w:szCs w:val="20"/>
    </w:rPr>
  </w:style>
  <w:style w:type="paragraph" w:styleId="15">
    <w:name w:val="Normal (Web)"/>
    <w:basedOn w:val="1"/>
    <w:qFormat/>
    <w:uiPriority w:val="0"/>
    <w:pPr>
      <w:widowControl/>
      <w:spacing w:beforeAutospacing="1" w:afterAutospacing="1"/>
      <w:jc w:val="left"/>
    </w:pPr>
    <w:rPr>
      <w:rFonts w:ascii="宋体" w:hAnsi="宋体" w:cs="宋体"/>
      <w:kern w:val="0"/>
      <w:sz w:val="24"/>
    </w:rPr>
  </w:style>
  <w:style w:type="paragraph" w:styleId="16">
    <w:name w:val="Body Text First Indent"/>
    <w:basedOn w:val="6"/>
    <w:qFormat/>
    <w:uiPriority w:val="0"/>
    <w:pPr>
      <w:ind w:firstLine="420" w:firstLineChars="100"/>
    </w:pPr>
  </w:style>
  <w:style w:type="paragraph" w:styleId="17">
    <w:name w:val="Body Text First Indent 2"/>
    <w:basedOn w:val="7"/>
    <w:qFormat/>
    <w:uiPriority w:val="0"/>
    <w:pPr>
      <w:ind w:firstLine="420" w:firstLineChars="200"/>
    </w:pPr>
    <w:rPr>
      <w:rFonts w:eastAsia="宋体" w:cs="Times New Roman"/>
      <w:szCs w:val="20"/>
    </w:r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page number"/>
    <w:basedOn w:val="20"/>
    <w:qFormat/>
    <w:uiPriority w:val="0"/>
  </w:style>
  <w:style w:type="character" w:customStyle="1" w:styleId="22">
    <w:name w:val=" Char Char3"/>
    <w:basedOn w:val="20"/>
    <w:link w:val="2"/>
    <w:qFormat/>
    <w:uiPriority w:val="0"/>
    <w:rPr>
      <w:rFonts w:ascii="Arial" w:hAnsi="Arial" w:eastAsia="黑体"/>
      <w:b/>
      <w:bCs/>
      <w:kern w:val="2"/>
      <w:sz w:val="30"/>
      <w:szCs w:val="32"/>
    </w:rPr>
  </w:style>
  <w:style w:type="character" w:customStyle="1" w:styleId="23">
    <w:name w:val=" Char Char2"/>
    <w:basedOn w:val="20"/>
    <w:link w:val="3"/>
    <w:qFormat/>
    <w:uiPriority w:val="0"/>
    <w:rPr>
      <w:rFonts w:ascii="宋体" w:hAnsi="宋体" w:eastAsia="黑体"/>
      <w:b/>
      <w:bCs/>
      <w:kern w:val="2"/>
      <w:sz w:val="32"/>
      <w:szCs w:val="32"/>
    </w:rPr>
  </w:style>
  <w:style w:type="character" w:customStyle="1" w:styleId="24">
    <w:name w:val=" Char Char1"/>
    <w:basedOn w:val="20"/>
    <w:link w:val="10"/>
    <w:qFormat/>
    <w:uiPriority w:val="99"/>
    <w:rPr>
      <w:rFonts w:ascii="宋体" w:hAnsi="Courier New"/>
      <w:color w:val="000000"/>
      <w:kern w:val="2"/>
      <w:sz w:val="21"/>
      <w:szCs w:val="22"/>
    </w:rPr>
  </w:style>
  <w:style w:type="character" w:customStyle="1" w:styleId="25">
    <w:name w:val=" Char Char"/>
    <w:basedOn w:val="20"/>
    <w:link w:val="13"/>
    <w:qFormat/>
    <w:uiPriority w:val="0"/>
    <w:rPr>
      <w:rFonts w:eastAsia="MS Gothic" w:cs="MS Gothic"/>
      <w:kern w:val="2"/>
      <w:sz w:val="18"/>
      <w:szCs w:val="18"/>
    </w:rPr>
  </w:style>
  <w:style w:type="paragraph" w:customStyle="1" w:styleId="26">
    <w:name w:val="xiao b"/>
    <w:basedOn w:val="1"/>
    <w:qFormat/>
    <w:uiPriority w:val="0"/>
    <w:pPr>
      <w:widowControl/>
      <w:jc w:val="center"/>
    </w:pPr>
    <w:rPr>
      <w:rFonts w:eastAsia="黑体" w:cs="Times New Roman"/>
      <w:sz w:val="24"/>
      <w:szCs w:val="20"/>
    </w:rPr>
  </w:style>
  <w:style w:type="paragraph" w:customStyle="1" w:styleId="27">
    <w:name w:val="纯文本 New New New New New New New New"/>
    <w:basedOn w:val="1"/>
    <w:qFormat/>
    <w:uiPriority w:val="0"/>
    <w:rPr>
      <w:rFonts w:ascii="宋体" w:hAnsi="Courier New" w:eastAsia="宋体" w:cs="Times New Roman"/>
      <w:szCs w:val="24"/>
    </w:rPr>
  </w:style>
  <w:style w:type="character" w:customStyle="1" w:styleId="28">
    <w:name w:val="font11"/>
    <w:basedOn w:val="20"/>
    <w:qFormat/>
    <w:uiPriority w:val="0"/>
    <w:rPr>
      <w:rFonts w:hint="eastAsia" w:ascii="仿宋" w:hAnsi="仿宋" w:eastAsia="仿宋" w:cs="仿宋"/>
      <w:color w:val="000000"/>
      <w:sz w:val="21"/>
      <w:szCs w:val="21"/>
      <w:u w:val="none"/>
    </w:rPr>
  </w:style>
  <w:style w:type="character" w:customStyle="1" w:styleId="29">
    <w:name w:val="font21"/>
    <w:basedOn w:val="20"/>
    <w:qFormat/>
    <w:uiPriority w:val="0"/>
    <w:rPr>
      <w:rFonts w:hint="eastAsia" w:ascii="仿宋" w:hAnsi="仿宋" w:eastAsia="仿宋" w:cs="仿宋"/>
      <w:color w:val="000000"/>
      <w:sz w:val="18"/>
      <w:szCs w:val="18"/>
      <w:u w:val="none"/>
    </w:rPr>
  </w:style>
  <w:style w:type="character" w:customStyle="1" w:styleId="30">
    <w:name w:val="font31"/>
    <w:basedOn w:val="20"/>
    <w:qFormat/>
    <w:uiPriority w:val="0"/>
    <w:rPr>
      <w:rFonts w:ascii="Arial" w:hAnsi="Arial" w:cs="Arial"/>
      <w:color w:val="000000"/>
      <w:sz w:val="21"/>
      <w:szCs w:val="21"/>
      <w:u w:val="none"/>
    </w:rPr>
  </w:style>
  <w:style w:type="paragraph" w:customStyle="1" w:styleId="31">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Pages>
  <Words>5177</Words>
  <Characters>5259</Characters>
  <Lines>181</Lines>
  <Paragraphs>51</Paragraphs>
  <TotalTime>1</TotalTime>
  <ScaleCrop>false</ScaleCrop>
  <LinksUpToDate>false</LinksUpToDate>
  <CharactersWithSpaces>5476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2018-10-23T07:42:00Z</dcterms:created>
  <dc:creator>zhb</dc:creator>
  <cp:lastModifiedBy>A-ha moment</cp:lastModifiedBy>
  <cp:lastPrinted>2025-09-30T06:46:00Z</cp:lastPrinted>
  <dcterms:modified xsi:type="dcterms:W3CDTF">2026-05-26T03:32:45Z</dcterms:modified>
  <dc:title>把</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A733EBD82CC84F0AB4D3D90594EEC9B5_13</vt:lpwstr>
  </property>
  <property fmtid="{D5CDD505-2E9C-101B-9397-08002B2CF9AE}" pid="4" name="KSOTemplateDocerSaveRecord">
    <vt:lpwstr>eyJoZGlkIjoiMzU2ODlhODhkOTNiYTgwZmRmZWJkMmJiOTIxOTFlOTYiLCJ1c2VySWQiOiIyNjEyMjgwOTMifQ==</vt:lpwstr>
  </property>
</Properties>
</file>