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2F7A1">
      <w:pPr>
        <w:keepNext w:val="0"/>
        <w:keepLines w:val="0"/>
        <w:pageBreakBefore w:val="0"/>
        <w:kinsoku/>
        <w:wordWrap/>
        <w:overflowPunct/>
        <w:topLinePunct w:val="0"/>
        <w:autoSpaceDE/>
        <w:autoSpaceDN/>
        <w:bidi w:val="0"/>
        <w:adjustRightInd/>
        <w:spacing w:before="10" w:beforeAutospacing="0" w:after="10" w:afterAutospacing="0" w:line="360" w:lineRule="auto"/>
        <w:ind w:left="21"/>
        <w:jc w:val="center"/>
        <w:textAlignment w:val="auto"/>
        <w:rPr>
          <w:rFonts w:hint="default" w:ascii="宋体" w:hAnsi="宋体" w:eastAsia="宋体" w:cs="宋体"/>
          <w:b/>
          <w:bCs/>
          <w:sz w:val="36"/>
          <w:szCs w:val="36"/>
          <w:highlight w:val="none"/>
          <w:lang w:val="en-US" w:eastAsia="zh-CN"/>
        </w:rPr>
      </w:pPr>
      <w:bookmarkStart w:id="0" w:name="_Toc74323458"/>
      <w:bookmarkStart w:id="1" w:name="_Toc6169"/>
      <w:r>
        <w:rPr>
          <w:rFonts w:hint="eastAsia" w:ascii="宋体" w:hAnsi="宋体" w:eastAsia="宋体" w:cs="宋体"/>
          <w:b/>
          <w:bCs/>
          <w:sz w:val="36"/>
          <w:szCs w:val="36"/>
          <w:highlight w:val="none"/>
          <w:lang w:val="en-US" w:eastAsia="zh-CN"/>
        </w:rPr>
        <w:t>南昌应用技术师范学院一站式就业服务</w:t>
      </w:r>
      <w:r>
        <w:rPr>
          <w:rFonts w:hint="eastAsia" w:ascii="宋体" w:hAnsi="宋体" w:eastAsia="宋体" w:cs="宋体"/>
          <w:b/>
          <w:bCs/>
          <w:sz w:val="36"/>
          <w:szCs w:val="36"/>
          <w:highlight w:val="none"/>
          <w:lang w:eastAsia="zh-CN"/>
        </w:rPr>
        <w:t>采购</w:t>
      </w:r>
      <w:r>
        <w:rPr>
          <w:rFonts w:hint="eastAsia" w:ascii="宋体" w:hAnsi="宋体" w:eastAsia="宋体" w:cs="宋体"/>
          <w:b/>
          <w:bCs/>
          <w:sz w:val="36"/>
          <w:szCs w:val="36"/>
          <w:highlight w:val="none"/>
          <w:lang w:val="en-US" w:eastAsia="zh-CN"/>
        </w:rPr>
        <w:t>说明</w:t>
      </w:r>
    </w:p>
    <w:p w14:paraId="08CDD24C">
      <w:pPr>
        <w:pStyle w:val="2"/>
        <w:bidi w:val="0"/>
        <w:rPr>
          <w:rFonts w:hint="default"/>
          <w:highlight w:val="none"/>
          <w:lang w:val="en-US" w:eastAsia="zh-CN"/>
        </w:rPr>
      </w:pPr>
      <w:r>
        <w:rPr>
          <w:rFonts w:hint="eastAsia"/>
          <w:highlight w:val="none"/>
          <w:lang w:val="en-US" w:eastAsia="zh-CN"/>
        </w:rPr>
        <w:t>一、项目一览表</w:t>
      </w:r>
    </w:p>
    <w:tbl>
      <w:tblPr>
        <w:tblStyle w:val="8"/>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3591"/>
        <w:gridCol w:w="1325"/>
        <w:gridCol w:w="1325"/>
        <w:gridCol w:w="2261"/>
      </w:tblGrid>
      <w:tr w14:paraId="44D0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3" w:type="pct"/>
            <w:shd w:val="clear" w:color="auto" w:fill="FFFFFF"/>
            <w:vAlign w:val="center"/>
          </w:tcPr>
          <w:p w14:paraId="52C5BD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1924" w:type="pct"/>
            <w:shd w:val="clear" w:color="auto" w:fill="FFFFFF"/>
            <w:vAlign w:val="center"/>
          </w:tcPr>
          <w:p w14:paraId="76CFE5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产品名称</w:t>
            </w:r>
          </w:p>
        </w:tc>
        <w:tc>
          <w:tcPr>
            <w:tcW w:w="710" w:type="pct"/>
            <w:shd w:val="clear" w:color="auto" w:fill="FFFFFF"/>
            <w:vAlign w:val="center"/>
          </w:tcPr>
          <w:p w14:paraId="0BC139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数量</w:t>
            </w:r>
          </w:p>
        </w:tc>
        <w:tc>
          <w:tcPr>
            <w:tcW w:w="710" w:type="pct"/>
            <w:shd w:val="clear" w:color="auto" w:fill="FFFFFF"/>
            <w:vAlign w:val="center"/>
          </w:tcPr>
          <w:p w14:paraId="5C9B7C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单位</w:t>
            </w:r>
          </w:p>
        </w:tc>
        <w:tc>
          <w:tcPr>
            <w:tcW w:w="1211" w:type="pct"/>
            <w:vAlign w:val="center"/>
          </w:tcPr>
          <w:p w14:paraId="10AE3E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备注</w:t>
            </w:r>
          </w:p>
        </w:tc>
      </w:tr>
      <w:tr w14:paraId="57D1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exact"/>
          <w:jc w:val="center"/>
        </w:trPr>
        <w:tc>
          <w:tcPr>
            <w:tcW w:w="443" w:type="pct"/>
            <w:shd w:val="clear" w:color="auto" w:fill="FFFFFF"/>
            <w:noWrap/>
            <w:vAlign w:val="center"/>
          </w:tcPr>
          <w:p w14:paraId="261AFD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924" w:type="pct"/>
            <w:shd w:val="clear" w:color="auto" w:fill="auto"/>
            <w:vAlign w:val="center"/>
          </w:tcPr>
          <w:p w14:paraId="6B8E41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z w:val="22"/>
                <w:szCs w:val="22"/>
                <w:highlight w:val="none"/>
                <w:lang w:val="en-US"/>
              </w:rPr>
            </w:pPr>
            <w:r>
              <w:rPr>
                <w:rFonts w:hint="eastAsia" w:ascii="宋体" w:hAnsi="宋体" w:eastAsia="宋体" w:cs="宋体"/>
                <w:sz w:val="22"/>
                <w:szCs w:val="22"/>
                <w:highlight w:val="none"/>
                <w:shd w:val="clear"/>
                <w:lang w:val="en-US" w:eastAsia="zh-CN"/>
              </w:rPr>
              <w:t>南昌应用技术师范学院一站式就业服务</w:t>
            </w:r>
            <w:r>
              <w:rPr>
                <w:rFonts w:hint="eastAsia" w:ascii="宋体" w:hAnsi="宋体" w:eastAsia="宋体" w:cs="宋体"/>
                <w:sz w:val="22"/>
                <w:szCs w:val="22"/>
                <w:highlight w:val="none"/>
                <w:shd w:val="clear"/>
                <w:lang w:eastAsia="zh-CN"/>
              </w:rPr>
              <w:t>采购</w:t>
            </w:r>
            <w:r>
              <w:rPr>
                <w:rFonts w:hint="eastAsia" w:ascii="宋体" w:hAnsi="宋体" w:eastAsia="宋体" w:cs="宋体"/>
                <w:sz w:val="22"/>
                <w:szCs w:val="22"/>
                <w:highlight w:val="none"/>
                <w:shd w:val="clear"/>
                <w:lang w:val="en-US" w:eastAsia="zh-CN"/>
              </w:rPr>
              <w:t>项目</w:t>
            </w:r>
          </w:p>
        </w:tc>
        <w:tc>
          <w:tcPr>
            <w:tcW w:w="710" w:type="pct"/>
            <w:shd w:val="clear" w:color="auto" w:fill="auto"/>
            <w:vAlign w:val="center"/>
          </w:tcPr>
          <w:p w14:paraId="7978AE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w:t>
            </w:r>
          </w:p>
        </w:tc>
        <w:tc>
          <w:tcPr>
            <w:tcW w:w="710" w:type="pct"/>
            <w:shd w:val="clear" w:color="auto" w:fill="FFFFFF"/>
            <w:vAlign w:val="center"/>
          </w:tcPr>
          <w:p w14:paraId="1B3C88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rPr>
              <w:t>套</w:t>
            </w:r>
          </w:p>
        </w:tc>
        <w:tc>
          <w:tcPr>
            <w:tcW w:w="1211" w:type="pct"/>
            <w:vAlign w:val="center"/>
          </w:tcPr>
          <w:p w14:paraId="589F37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rPr>
              <w:t>所提供产品必须为中国关境内生产。</w:t>
            </w:r>
          </w:p>
        </w:tc>
      </w:tr>
    </w:tbl>
    <w:p w14:paraId="32E51234">
      <w:pPr>
        <w:pStyle w:val="2"/>
        <w:bidi w:val="0"/>
        <w:rPr>
          <w:rFonts w:hint="eastAsia"/>
          <w:b/>
          <w:highlight w:val="none"/>
          <w:lang w:val="en-US" w:eastAsia="zh-CN"/>
        </w:rPr>
      </w:pPr>
      <w:r>
        <w:rPr>
          <w:rFonts w:hint="eastAsia"/>
          <w:highlight w:val="none"/>
          <w:lang w:val="en-US" w:eastAsia="zh-CN"/>
        </w:rPr>
        <w:t>二、</w:t>
      </w:r>
      <w:r>
        <w:rPr>
          <w:rFonts w:hint="eastAsia"/>
          <w:b/>
          <w:highlight w:val="none"/>
          <w:lang w:val="en-US" w:eastAsia="zh-CN"/>
        </w:rPr>
        <w:t>技术标准与要求</w:t>
      </w:r>
    </w:p>
    <w:tbl>
      <w:tblPr>
        <w:tblStyle w:val="9"/>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1448"/>
        <w:gridCol w:w="6135"/>
        <w:gridCol w:w="666"/>
        <w:gridCol w:w="673"/>
      </w:tblGrid>
      <w:tr w14:paraId="2B67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23BFB7C8">
            <w:pPr>
              <w:keepNext w:val="0"/>
              <w:keepLines w:val="0"/>
              <w:widowControl/>
              <w:suppressLineNumbers w:val="0"/>
              <w:spacing w:before="0" w:beforeAutospacing="0" w:after="0" w:afterAutospacing="0"/>
              <w:ind w:left="0" w:right="0"/>
              <w:jc w:val="center"/>
              <w:rPr>
                <w:rFonts w:hint="eastAsia" w:ascii="Arial" w:hAnsi="Arial" w:eastAsia="Arial" w:cs="Arial"/>
                <w:b/>
                <w:bCs/>
                <w:snapToGrid w:val="0"/>
                <w:color w:val="auto"/>
                <w:sz w:val="22"/>
                <w:szCs w:val="22"/>
                <w:highlight w:val="none"/>
                <w:lang w:val="en-US" w:eastAsia="zh-CN" w:bidi="ar-SA"/>
              </w:rPr>
            </w:pPr>
            <w:r>
              <w:rPr>
                <w:rFonts w:hint="eastAsia"/>
                <w:b/>
                <w:bCs/>
                <w:color w:val="auto"/>
                <w:sz w:val="22"/>
                <w:szCs w:val="22"/>
                <w:highlight w:val="none"/>
              </w:rPr>
              <w:t>序号</w:t>
            </w:r>
          </w:p>
        </w:tc>
        <w:tc>
          <w:tcPr>
            <w:tcW w:w="1448" w:type="dxa"/>
            <w:shd w:val="clear" w:color="auto" w:fill="auto"/>
            <w:vAlign w:val="center"/>
          </w:tcPr>
          <w:p w14:paraId="6F20F959">
            <w:pPr>
              <w:keepNext w:val="0"/>
              <w:keepLines w:val="0"/>
              <w:widowControl/>
              <w:suppressLineNumbers w:val="0"/>
              <w:spacing w:before="0" w:beforeAutospacing="0" w:after="0" w:afterAutospacing="0"/>
              <w:ind w:left="0" w:right="0"/>
              <w:jc w:val="center"/>
              <w:rPr>
                <w:rFonts w:hint="eastAsia" w:ascii="Arial" w:hAnsi="Arial" w:eastAsia="Arial" w:cs="Arial"/>
                <w:b/>
                <w:bCs/>
                <w:snapToGrid w:val="0"/>
                <w:color w:val="auto"/>
                <w:sz w:val="22"/>
                <w:szCs w:val="22"/>
                <w:highlight w:val="none"/>
                <w:lang w:val="en-US" w:eastAsia="zh-CN" w:bidi="ar-SA"/>
              </w:rPr>
            </w:pPr>
            <w:r>
              <w:rPr>
                <w:rFonts w:hint="eastAsia"/>
                <w:b/>
                <w:bCs/>
                <w:color w:val="auto"/>
                <w:sz w:val="22"/>
                <w:szCs w:val="22"/>
                <w:highlight w:val="none"/>
              </w:rPr>
              <w:t>名称</w:t>
            </w:r>
          </w:p>
        </w:tc>
        <w:tc>
          <w:tcPr>
            <w:tcW w:w="6135" w:type="dxa"/>
            <w:shd w:val="clear" w:color="auto" w:fill="auto"/>
            <w:vAlign w:val="center"/>
          </w:tcPr>
          <w:p w14:paraId="16A0CD66">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b/>
                <w:bCs/>
                <w:color w:val="auto"/>
                <w:sz w:val="21"/>
                <w:szCs w:val="21"/>
                <w:highlight w:val="none"/>
                <w:lang w:val="en-US" w:eastAsia="zh"/>
              </w:rPr>
            </w:pPr>
            <w:r>
              <w:rPr>
                <w:rFonts w:hint="eastAsia" w:ascii="宋体" w:hAnsi="宋体" w:eastAsia="宋体" w:cs="宋体"/>
                <w:b/>
                <w:bCs/>
                <w:color w:val="auto"/>
                <w:sz w:val="21"/>
                <w:szCs w:val="21"/>
                <w:highlight w:val="none"/>
                <w:lang w:val="en-US" w:eastAsia="zh-CN"/>
              </w:rPr>
              <w:t>技术参数</w:t>
            </w:r>
          </w:p>
        </w:tc>
        <w:tc>
          <w:tcPr>
            <w:tcW w:w="666" w:type="dxa"/>
            <w:shd w:val="clear" w:color="auto" w:fill="auto"/>
            <w:vAlign w:val="center"/>
          </w:tcPr>
          <w:p w14:paraId="22F8C339">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单位</w:t>
            </w:r>
          </w:p>
        </w:tc>
        <w:tc>
          <w:tcPr>
            <w:tcW w:w="673" w:type="dxa"/>
            <w:shd w:val="clear" w:color="auto" w:fill="auto"/>
            <w:vAlign w:val="center"/>
          </w:tcPr>
          <w:p w14:paraId="5A310FD1">
            <w:pPr>
              <w:keepNext w:val="0"/>
              <w:keepLines w:val="0"/>
              <w:widowControl/>
              <w:suppressLineNumbers w:val="0"/>
              <w:spacing w:before="0" w:beforeAutospacing="0" w:after="0" w:afterAutospacing="0"/>
              <w:ind w:left="0" w:right="0"/>
              <w:jc w:val="center"/>
              <w:rPr>
                <w:rFonts w:hint="eastAsia" w:ascii="宋体" w:hAnsi="宋体" w:eastAsia="宋体" w:cs="宋体"/>
                <w:b/>
                <w:bCs/>
                <w:snapToGrid w:val="0"/>
                <w:color w:val="auto"/>
                <w:sz w:val="20"/>
                <w:szCs w:val="20"/>
                <w:highlight w:val="none"/>
                <w:lang w:val="en-US" w:eastAsia="zh-CN" w:bidi="ar-SA"/>
              </w:rPr>
            </w:pPr>
            <w:r>
              <w:rPr>
                <w:rFonts w:hint="eastAsia" w:ascii="宋体" w:hAnsi="宋体" w:eastAsia="宋体" w:cs="宋体"/>
                <w:b/>
                <w:bCs/>
                <w:color w:val="auto"/>
                <w:sz w:val="20"/>
                <w:szCs w:val="20"/>
                <w:highlight w:val="none"/>
                <w:shd w:val="clear"/>
              </w:rPr>
              <w:t>数量</w:t>
            </w:r>
          </w:p>
        </w:tc>
      </w:tr>
      <w:tr w14:paraId="4159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19600218">
            <w:pPr>
              <w:keepNext w:val="0"/>
              <w:keepLines w:val="0"/>
              <w:widowControl/>
              <w:suppressLineNumbers w:val="0"/>
              <w:spacing w:before="0" w:beforeAutospacing="0" w:after="0" w:afterAutospacing="0"/>
              <w:ind w:left="0" w:right="0"/>
              <w:jc w:val="center"/>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1448" w:type="dxa"/>
            <w:shd w:val="clear" w:color="auto" w:fill="auto"/>
            <w:vAlign w:val="top"/>
          </w:tcPr>
          <w:p w14:paraId="4AB25DB2">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39BD4727">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46908DEC">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4CB7DE9B">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62A96750">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2C42E008">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686428C3">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3DD48817">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0D60CA16">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3406265B">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2C6FA5B5">
            <w:pPr>
              <w:pStyle w:val="4"/>
              <w:keepNext w:val="0"/>
              <w:keepLines w:val="0"/>
              <w:widowControl/>
              <w:suppressLineNumbers w:val="0"/>
              <w:spacing w:before="0" w:beforeAutospacing="0" w:after="0" w:afterAutospacing="0"/>
              <w:ind w:left="0" w:right="0"/>
              <w:rPr>
                <w:rFonts w:hint="eastAsia"/>
                <w:color w:val="auto"/>
                <w:highlight w:val="none"/>
                <w:lang w:val="en-US" w:eastAsia="zh-CN"/>
              </w:rPr>
            </w:pPr>
          </w:p>
          <w:p w14:paraId="7E923288">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0555562F">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3515B525">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19FDC873">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AI简历系统</w:t>
            </w:r>
          </w:p>
        </w:tc>
        <w:tc>
          <w:tcPr>
            <w:tcW w:w="6135" w:type="dxa"/>
          </w:tcPr>
          <w:p w14:paraId="00EE9AD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CN"/>
              </w:rPr>
              <w:t>一、学生端</w:t>
            </w:r>
          </w:p>
          <w:p w14:paraId="36328FC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1.简历制作：</w:t>
            </w:r>
          </w:p>
          <w:p w14:paraId="0197122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基于AI的简历撰写与内容优化：提供不少于7类简历模块（包括但不限于：工作经历、项目经历、实习经历、校园经历、科研经历、自我评价、技能证书），允许学生按需勾选组合生成简历；支持智能解析PDF、Word、图片等主流格式附件，自动提取关键信息并转换为可在线编辑的结构化简历；集成模板切换、在线翻译、关键词智能生成等功能，提供在线编辑器及AI实时优化服务。</w:t>
            </w:r>
          </w:p>
          <w:p w14:paraId="5CD1DA9E">
            <w:pPr>
              <w:pStyle w:val="3"/>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（2）智能诊断：支持基于</w:t>
            </w:r>
            <w:r>
              <w:rPr>
                <w:rFonts w:hint="eastAsia" w:eastAsia="宋体"/>
                <w:color w:val="auto"/>
                <w:lang w:val="en-US" w:eastAsia="zh-CN"/>
              </w:rPr>
              <w:t>简历内容模块自动适配的基本信息、求职意向、教育背景、工作经历、项目经历、自我评价、技能证书、校园实践、实习经历、自定义模块、研究经历等</w:t>
            </w:r>
            <w:r>
              <w:rPr>
                <w:rFonts w:hint="eastAsia" w:ascii="宋体" w:hAnsi="宋体" w:eastAsia="宋体" w:cs="宋体"/>
                <w:color w:val="auto"/>
                <w:sz w:val="21"/>
                <w:szCs w:val="21"/>
                <w:highlight w:val="none"/>
                <w:lang w:val="en-US" w:eastAsia="zh-CN"/>
              </w:rPr>
              <w:t>不低于8个维度自动诊断简历问题，基于</w:t>
            </w:r>
            <w:r>
              <w:rPr>
                <w:rFonts w:hint="eastAsia" w:eastAsia="宋体"/>
                <w:color w:val="auto"/>
                <w:lang w:val="en-US" w:eastAsia="zh-CN"/>
              </w:rPr>
              <w:t>简历内容自动适配的基础错误、口语化识别、量化结果缺失、动词规范性、术语缩写、格式一致性等</w:t>
            </w:r>
            <w:r>
              <w:rPr>
                <w:rFonts w:hint="eastAsia" w:ascii="宋体" w:hAnsi="宋体" w:eastAsia="宋体" w:cs="宋体"/>
                <w:color w:val="auto"/>
                <w:sz w:val="21"/>
                <w:szCs w:val="21"/>
                <w:highlight w:val="none"/>
                <w:lang w:val="en-US" w:eastAsia="zh-CN"/>
              </w:rPr>
              <w:t>不低于5个维度对简历文本进行语义分析。</w:t>
            </w:r>
          </w:p>
          <w:p w14:paraId="62E886E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woUserID w:val="3"/>
              </w:rPr>
              <w:t>●</w:t>
            </w:r>
            <w:r>
              <w:rPr>
                <w:rFonts w:hint="eastAsia" w:ascii="宋体" w:hAnsi="宋体" w:eastAsia="宋体" w:cs="宋体"/>
                <w:b/>
                <w:bCs/>
                <w:color w:val="auto"/>
                <w:sz w:val="21"/>
                <w:szCs w:val="21"/>
                <w:highlight w:val="none"/>
                <w:lang w:val="en-US" w:eastAsia="zh-CN"/>
              </w:rPr>
              <w:t>（3）支持AI一键生成</w:t>
            </w:r>
            <w:r>
              <w:rPr>
                <w:rFonts w:hint="default" w:ascii="宋体" w:hAnsi="宋体" w:eastAsia="宋体" w:cs="宋体"/>
                <w:b/>
                <w:bCs/>
                <w:color w:val="auto"/>
                <w:sz w:val="21"/>
                <w:szCs w:val="21"/>
                <w:highlight w:val="none"/>
                <w:lang w:val="en-US" w:eastAsia="zh-CN"/>
              </w:rPr>
              <w:t>SMART</w:t>
            </w:r>
            <w:r>
              <w:rPr>
                <w:rFonts w:hint="eastAsia" w:ascii="宋体" w:hAnsi="宋体" w:eastAsia="宋体" w:cs="宋体"/>
                <w:b/>
                <w:bCs/>
                <w:color w:val="auto"/>
                <w:sz w:val="21"/>
                <w:szCs w:val="21"/>
                <w:highlight w:val="none"/>
                <w:lang w:val="en-US" w:eastAsia="zh-CN"/>
              </w:rPr>
              <w:t>分析报告：依托简历内容，基于可衡量性、可达成性、相关性、时限性、具体性等不低于5个维度进行自动分析，输出完整</w:t>
            </w:r>
            <w:r>
              <w:rPr>
                <w:rFonts w:hint="default" w:ascii="宋体" w:hAnsi="宋体" w:eastAsia="宋体" w:cs="宋体"/>
                <w:b/>
                <w:bCs/>
                <w:color w:val="auto"/>
                <w:sz w:val="21"/>
                <w:szCs w:val="21"/>
                <w:highlight w:val="none"/>
                <w:lang w:val="en-US" w:eastAsia="zh-CN"/>
              </w:rPr>
              <w:t>SMART</w:t>
            </w:r>
            <w:r>
              <w:rPr>
                <w:rFonts w:hint="eastAsia" w:ascii="宋体" w:hAnsi="宋体" w:eastAsia="宋体" w:cs="宋体"/>
                <w:b/>
                <w:bCs/>
                <w:color w:val="auto"/>
                <w:sz w:val="21"/>
                <w:szCs w:val="21"/>
                <w:highlight w:val="none"/>
                <w:lang w:val="en-US" w:eastAsia="zh-CN"/>
              </w:rPr>
              <w:t>分析报告，报告内容涵盖简历优化建议、内容优化示例以及简历综合评价等内容。</w:t>
            </w:r>
          </w:p>
          <w:p w14:paraId="521EB90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CN"/>
              </w:rPr>
              <w:t>（4）智能推荐：可一键解析简历，精准匹配符合简历内容的岗位，并支持一键跳转</w:t>
            </w:r>
            <w:r>
              <w:rPr>
                <w:rFonts w:hint="eastAsia" w:ascii="宋体" w:hAnsi="宋体" w:eastAsia="宋体" w:cs="宋体"/>
                <w:color w:val="auto"/>
                <w:sz w:val="21"/>
                <w:szCs w:val="21"/>
                <w:highlight w:val="none"/>
                <w:lang w:val="en-US" w:eastAsia="zh"/>
              </w:rPr>
              <w:t>不少于3家以上招聘网站跳转链接，</w:t>
            </w:r>
            <w:r>
              <w:rPr>
                <w:rFonts w:hint="eastAsia" w:ascii="宋体" w:hAnsi="宋体" w:eastAsia="宋体" w:cs="宋体"/>
                <w:color w:val="auto"/>
                <w:sz w:val="21"/>
                <w:szCs w:val="21"/>
                <w:highlight w:val="none"/>
                <w:lang w:val="en-US" w:eastAsia="zh-CN"/>
              </w:rPr>
              <w:t>实现与学校自有人才供需对接平台对接，简历投递后自动记录投递岗位、状态、时间等跟踪信息。</w:t>
            </w:r>
          </w:p>
          <w:p w14:paraId="21DD804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2.支持AI生成求职自荐信：根据企业岗位信息或院校专业信息、求职角色类型和自定义补充信息，一键自动生成求职自荐信。</w:t>
            </w:r>
          </w:p>
          <w:p w14:paraId="113AD81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woUserID w:val="3"/>
              </w:rPr>
              <w:t>●</w:t>
            </w:r>
            <w:r>
              <w:rPr>
                <w:rFonts w:hint="eastAsia" w:ascii="宋体" w:hAnsi="宋体" w:eastAsia="宋体" w:cs="宋体"/>
                <w:b/>
                <w:bCs/>
                <w:color w:val="auto"/>
                <w:sz w:val="21"/>
                <w:szCs w:val="21"/>
                <w:highlight w:val="none"/>
                <w:lang w:val="en-US" w:eastAsia="zh-CN"/>
              </w:rPr>
              <w:t>3.面试</w:t>
            </w:r>
            <w:r>
              <w:rPr>
                <w:rFonts w:hint="eastAsia" w:ascii="宋体" w:hAnsi="宋体" w:eastAsia="宋体" w:cs="宋体"/>
                <w:b/>
                <w:bCs/>
                <w:color w:val="auto"/>
                <w:sz w:val="21"/>
                <w:szCs w:val="21"/>
                <w:highlight w:val="none"/>
                <w:lang w:val="en-US" w:eastAsia="zh"/>
                <w:woUserID w:val="1"/>
              </w:rPr>
              <w:t>题</w:t>
            </w:r>
            <w:r>
              <w:rPr>
                <w:rFonts w:hint="eastAsia" w:ascii="宋体" w:hAnsi="宋体" w:eastAsia="宋体" w:cs="宋体"/>
                <w:b/>
                <w:bCs/>
                <w:color w:val="auto"/>
                <w:sz w:val="21"/>
                <w:szCs w:val="21"/>
                <w:highlight w:val="none"/>
                <w:lang w:val="en-US" w:eastAsia="zh-CN"/>
              </w:rPr>
              <w:t>预测：支持AI面试题预测，包含岗位面试题预测、简历面试题预测、招聘要求面试题预测、考公面试题预测、考研面试题预测等</w:t>
            </w:r>
            <w:r>
              <w:rPr>
                <w:rFonts w:hint="eastAsia" w:ascii="宋体" w:hAnsi="宋体" w:eastAsia="宋体" w:cs="宋体"/>
                <w:b/>
                <w:bCs/>
                <w:color w:val="auto"/>
                <w:sz w:val="21"/>
                <w:szCs w:val="21"/>
                <w:highlight w:val="none"/>
                <w:lang w:val="en-US" w:eastAsia="zh"/>
              </w:rPr>
              <w:t>，各类型预判题目下需包含提问考察点及回答参考点，</w:t>
            </w:r>
            <w:r>
              <w:rPr>
                <w:rFonts w:hint="eastAsia" w:ascii="宋体" w:hAnsi="宋体" w:eastAsia="宋体" w:cs="宋体"/>
                <w:b/>
                <w:bCs/>
                <w:color w:val="auto"/>
                <w:sz w:val="21"/>
                <w:szCs w:val="21"/>
                <w:highlight w:val="none"/>
                <w:lang w:val="en-US" w:eastAsia="zh-CN"/>
              </w:rPr>
              <w:t>同时支持AI模拟面试，AI可根据公司和岗位实时提问，通过文字进行模拟面试，面试结束后自动生成评估报告，包含岗位匹配度、面试短板与提升建议等维度。</w:t>
            </w:r>
          </w:p>
          <w:p w14:paraId="4A34219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woUserID w:val="3"/>
              </w:rPr>
              <w:t>●</w:t>
            </w:r>
            <w:r>
              <w:rPr>
                <w:rFonts w:hint="eastAsia" w:ascii="宋体" w:hAnsi="宋体" w:eastAsia="宋体" w:cs="宋体"/>
                <w:b/>
                <w:bCs/>
                <w:color w:val="auto"/>
                <w:sz w:val="21"/>
                <w:szCs w:val="21"/>
                <w:highlight w:val="none"/>
                <w:lang w:val="en-US" w:eastAsia="zh-CN"/>
              </w:rPr>
              <w:t>4.职场适应：支持通过AI智能回答职场发展、职场权益、求职等各种问题；同时可智能分析多个Offer情况，对比优缺点给出参考建议。</w:t>
            </w:r>
          </w:p>
          <w:p w14:paraId="3B50E33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▲5.求职素材库：提供不低于4000份简历、求职信模板；覆盖产品、工程等不低于20种行业分类，应届、社招等不低于10种风格分类。</w:t>
            </w:r>
          </w:p>
          <w:p w14:paraId="5B2B2CE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6.多端全设备适配：支持网页、H5多端访问，适配手机、平板、电脑等使用场景；支持嵌入学校公众号、官网等平台实现统一登录。</w:t>
            </w:r>
          </w:p>
          <w:p w14:paraId="45C5B1B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二、管理端</w:t>
            </w:r>
          </w:p>
          <w:p w14:paraId="7C660DD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1.数据控制台</w:t>
            </w:r>
          </w:p>
          <w:p w14:paraId="25C48B6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控制台功能：支持对全站的数据进行统计，包括平台用户数、实时使用人数、网站简历制作数量、期望薪酬、今日注册、今日登录、三日新增、七日活跃、月活跃、年活跃，各学院使用情况、学生准备求职行业情况、各届学生的情况等进行统计分析；支持按照届别、学院、专业、班级进行检索统计。</w:t>
            </w:r>
          </w:p>
          <w:p w14:paraId="4B661D6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b/>
                <w:bCs/>
                <w:color w:val="auto"/>
                <w:sz w:val="21"/>
                <w:szCs w:val="21"/>
                <w:highlight w:val="none"/>
                <w:lang w:val="en-US" w:eastAsia="zh-CN"/>
              </w:rPr>
              <w:t>●（2）数据可视化：支持对全站数据进行多维度可视化分析，包括学历分布、性别分布、意向城市数据统计、热门职位TOP5、意向行业统计、AI简历分数分布、AI简历缺陷词云图等，且点击词云图中具体模块，可自动汇总存在该问题的学生简历，并支持查看对应在线简历；同时支持以全校、</w:t>
            </w:r>
            <w:r>
              <w:rPr>
                <w:rFonts w:hint="eastAsia" w:ascii="宋体" w:hAnsi="宋体" w:eastAsia="宋体" w:cs="宋体"/>
                <w:color w:val="auto"/>
                <w:sz w:val="21"/>
                <w:szCs w:val="21"/>
                <w:highlight w:val="none"/>
                <w:lang w:val="en-US" w:eastAsia="zh-CN"/>
              </w:rPr>
              <w:t>届别、院系、班级为单位，由AI生成简历指导的针对性辅导建议。</w:t>
            </w:r>
          </w:p>
          <w:p w14:paraId="41E7A01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2.账号与简历数据管理</w:t>
            </w:r>
          </w:p>
          <w:p w14:paraId="3649123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（1）账号管理：支持批量导入或添加学生账号，完成信息配置后学生可凭账号登录系统访问使用学生端全部功能模块。</w:t>
            </w:r>
          </w:p>
          <w:p w14:paraId="37F6504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woUserID w:val="3"/>
              </w:rPr>
              <w:t>●</w:t>
            </w:r>
            <w:r>
              <w:rPr>
                <w:rFonts w:hint="eastAsia" w:ascii="宋体" w:hAnsi="宋体" w:eastAsia="宋体" w:cs="宋体"/>
                <w:b/>
                <w:bCs/>
                <w:color w:val="auto"/>
                <w:sz w:val="21"/>
                <w:szCs w:val="21"/>
                <w:highlight w:val="none"/>
                <w:lang w:val="en-US" w:eastAsia="zh-CN"/>
              </w:rPr>
              <w:t>（2）简历评审：支持一键筛选学生最高分简历，在线评审简历并添加评语、评分，实时通知学生。</w:t>
            </w:r>
          </w:p>
          <w:p w14:paraId="723E251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（3）简历数量管控：支持管理员自定义学生账户的后台简历数量上限。</w:t>
            </w:r>
          </w:p>
          <w:p w14:paraId="55ED466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（4）使用数据查询：支持查询学生平台使用数据及在线简历保存情况，可查看学生各功能调用次数及简历详细信息。</w:t>
            </w:r>
          </w:p>
          <w:p w14:paraId="077E71D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3.站点管理</w:t>
            </w:r>
          </w:p>
          <w:p w14:paraId="00BA8B6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（1）消息推送：支持面向管理人员推送简历平台功能更新消息、BUG修复消息等消息；支持面向学生进行统一或定向信息推送，在学生端登录后即可查阅。</w:t>
            </w:r>
          </w:p>
          <w:p w14:paraId="0DBCE83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（2）站点设置：支持自定义站点名称、LOGO、登录页背景图、轮播图、底部导航栏等，实现符合学校品牌形象的个性化简历站点。</w:t>
            </w:r>
          </w:p>
          <w:p w14:paraId="29B51E6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（3）专属域名：支持为学校的简历站点设置专属域名。</w:t>
            </w:r>
          </w:p>
          <w:p w14:paraId="19485B0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（4）功能定制：支持站点内服务模块按需勾选设置，确保功能配置灵活实用。</w:t>
            </w:r>
          </w:p>
          <w:p w14:paraId="3CD8417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4.权限管理</w:t>
            </w:r>
          </w:p>
          <w:p w14:paraId="24CFAA5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（1）角色设置：支持设置不同的站点管理员角色，角色包含：超级管理员、院系管理员、班级管理员、赛事管理员、网站内容管理员等定制化管理角色。</w:t>
            </w:r>
          </w:p>
          <w:p w14:paraId="5B1A20E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（2）管理员设置：支持针对指导教师进行不同级别管理员角色的设置，便于不同角色管理员进行学生的账号、简历等内容管理。</w:t>
            </w:r>
          </w:p>
          <w:p w14:paraId="004A086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三、系统能力</w:t>
            </w:r>
          </w:p>
          <w:p w14:paraId="0B7594C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CN"/>
              </w:rPr>
              <w:t>1.深度融合主流AI大模型技术。</w:t>
            </w:r>
          </w:p>
          <w:p w14:paraId="29D0EC6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2.AI简历系统须具备完整知识产权。</w:t>
            </w:r>
          </w:p>
        </w:tc>
        <w:tc>
          <w:tcPr>
            <w:tcW w:w="666" w:type="dxa"/>
            <w:shd w:val="clear" w:color="auto" w:fill="auto"/>
            <w:vAlign w:val="center"/>
          </w:tcPr>
          <w:p w14:paraId="2F81FC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snapToGrid w:val="0"/>
                <w:color w:val="auto"/>
                <w:sz w:val="20"/>
                <w:szCs w:val="20"/>
                <w:highlight w:val="none"/>
                <w:vertAlign w:val="baseline"/>
                <w:lang w:val="en-US" w:eastAsia="zh-CN" w:bidi="ar-SA"/>
              </w:rPr>
            </w:pPr>
            <w:r>
              <w:rPr>
                <w:rFonts w:hint="eastAsia" w:ascii="宋体" w:hAnsi="宋体" w:eastAsia="宋体" w:cs="宋体"/>
                <w:b/>
                <w:bCs/>
                <w:i w:val="0"/>
                <w:iCs w:val="0"/>
                <w:snapToGrid w:val="0"/>
                <w:color w:val="auto"/>
                <w:kern w:val="0"/>
                <w:sz w:val="20"/>
                <w:szCs w:val="20"/>
                <w:highlight w:val="none"/>
                <w:u w:val="none"/>
                <w:lang w:val="en-US" w:eastAsia="zh-CN" w:bidi="ar"/>
              </w:rPr>
              <w:t>年</w:t>
            </w:r>
          </w:p>
        </w:tc>
        <w:tc>
          <w:tcPr>
            <w:tcW w:w="673" w:type="dxa"/>
            <w:vAlign w:val="center"/>
          </w:tcPr>
          <w:p w14:paraId="7E09DF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yellow"/>
                <w:vertAlign w:val="baseline"/>
                <w:lang w:val="en-US" w:eastAsia="zh-CN"/>
              </w:rPr>
            </w:pPr>
            <w:r>
              <w:rPr>
                <w:rFonts w:hint="eastAsia" w:ascii="宋体" w:hAnsi="宋体" w:eastAsia="宋体" w:cs="宋体"/>
                <w:b w:val="0"/>
                <w:bCs w:val="0"/>
                <w:color w:val="auto"/>
                <w:sz w:val="20"/>
                <w:szCs w:val="20"/>
                <w:highlight w:val="none"/>
                <w:shd w:val="clear"/>
                <w:vertAlign w:val="baseline"/>
                <w:lang w:val="en-US" w:eastAsia="zh-CN"/>
              </w:rPr>
              <w:t>5</w:t>
            </w:r>
          </w:p>
        </w:tc>
      </w:tr>
      <w:tr w14:paraId="6DC5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401E280D">
            <w:pPr>
              <w:keepNext w:val="0"/>
              <w:keepLines w:val="0"/>
              <w:widowControl/>
              <w:suppressLineNumbers w:val="0"/>
              <w:spacing w:before="0" w:beforeAutospacing="0" w:after="0" w:afterAutospacing="0"/>
              <w:ind w:left="0" w:right="0"/>
              <w:jc w:val="both"/>
              <w:rPr>
                <w:rFonts w:hint="eastAsia" w:ascii="宋体" w:hAnsi="宋体" w:eastAsia="宋体" w:cs="宋体"/>
                <w:b w:val="0"/>
                <w:bCs w:val="0"/>
                <w:color w:val="auto"/>
                <w:sz w:val="21"/>
                <w:szCs w:val="21"/>
                <w:highlight w:val="none"/>
                <w:vertAlign w:val="baseline"/>
                <w:lang w:val="en-US" w:eastAsia="zh-CN"/>
              </w:rPr>
            </w:pPr>
          </w:p>
          <w:p w14:paraId="66189EB2">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color w:val="auto"/>
                <w:sz w:val="21"/>
                <w:szCs w:val="21"/>
                <w:highlight w:val="none"/>
                <w:vertAlign w:val="baseline"/>
                <w:lang w:val="en-US" w:eastAsia="zh-CN"/>
              </w:rPr>
            </w:pPr>
          </w:p>
          <w:p w14:paraId="02316091">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color w:val="auto"/>
                <w:sz w:val="21"/>
                <w:szCs w:val="21"/>
                <w:highlight w:val="none"/>
                <w:vertAlign w:val="baseline"/>
                <w:lang w:val="en-US" w:eastAsia="zh-CN"/>
              </w:rPr>
            </w:pPr>
          </w:p>
          <w:p w14:paraId="6BAF9FC8">
            <w:pPr>
              <w:pStyle w:val="4"/>
              <w:keepNext w:val="0"/>
              <w:keepLines w:val="0"/>
              <w:widowControl/>
              <w:suppressLineNumbers w:val="0"/>
              <w:spacing w:before="0" w:beforeAutospacing="0" w:after="0" w:afterAutospacing="0"/>
              <w:ind w:left="0" w:right="0"/>
              <w:rPr>
                <w:rFonts w:hint="eastAsia" w:ascii="宋体" w:hAnsi="宋体" w:eastAsia="宋体" w:cs="宋体"/>
                <w:b w:val="0"/>
                <w:bCs w:val="0"/>
                <w:color w:val="auto"/>
                <w:sz w:val="21"/>
                <w:szCs w:val="21"/>
                <w:highlight w:val="none"/>
                <w:vertAlign w:val="baseline"/>
                <w:lang w:val="en-US" w:eastAsia="zh-CN"/>
              </w:rPr>
            </w:pPr>
          </w:p>
          <w:p w14:paraId="64226D30">
            <w:pPr>
              <w:pStyle w:val="5"/>
              <w:keepNext w:val="0"/>
              <w:keepLines w:val="0"/>
              <w:widowControl/>
              <w:suppressLineNumbers w:val="0"/>
              <w:spacing w:before="0" w:beforeAutospacing="0" w:after="0" w:afterAutospacing="0"/>
              <w:ind w:left="0" w:right="0"/>
              <w:rPr>
                <w:rFonts w:hint="eastAsia"/>
                <w:lang w:val="en-US" w:eastAsia="zh-CN"/>
              </w:rPr>
            </w:pPr>
          </w:p>
          <w:p w14:paraId="5F1DFB60">
            <w:pPr>
              <w:keepNext w:val="0"/>
              <w:keepLines w:val="0"/>
              <w:widowControl/>
              <w:suppressLineNumbers w:val="0"/>
              <w:spacing w:before="0" w:beforeAutospacing="0" w:after="0" w:afterAutospacing="0"/>
              <w:ind w:left="0" w:right="0"/>
              <w:jc w:val="center"/>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1448" w:type="dxa"/>
            <w:shd w:val="clear" w:color="auto" w:fill="auto"/>
            <w:vAlign w:val="top"/>
          </w:tcPr>
          <w:p w14:paraId="79D98BD6">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083749DE">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7CA5B7AB">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p>
          <w:p w14:paraId="0E49B5E2">
            <w:pPr>
              <w:pStyle w:val="4"/>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0890AA98">
            <w:pPr>
              <w:pStyle w:val="5"/>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2CF56716">
            <w:pPr>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6158CA9E">
            <w:pPr>
              <w:pStyle w:val="4"/>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28127E0E">
            <w:pPr>
              <w:pStyle w:val="5"/>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2A42CFBE">
            <w:pPr>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44FED7C7">
            <w:pPr>
              <w:pStyle w:val="4"/>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054716CC">
            <w:pPr>
              <w:pStyle w:val="5"/>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410175D2">
            <w:pPr>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761169DD">
            <w:pPr>
              <w:pStyle w:val="4"/>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394FDEC6">
            <w:pPr>
              <w:pStyle w:val="5"/>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0E05D927">
            <w:pPr>
              <w:keepNext w:val="0"/>
              <w:keepLines w:val="0"/>
              <w:widowControl/>
              <w:suppressLineNumbers w:val="0"/>
              <w:spacing w:before="0" w:beforeAutospacing="0" w:after="0" w:afterAutospacing="0"/>
              <w:ind w:left="0" w:right="0"/>
              <w:rPr>
                <w:rFonts w:hint="eastAsia"/>
                <w:lang w:val="en-US" w:eastAsia="zh-CN"/>
              </w:rPr>
            </w:pPr>
          </w:p>
          <w:p w14:paraId="2F93494B">
            <w:pPr>
              <w:pStyle w:val="4"/>
              <w:keepNext w:val="0"/>
              <w:keepLines w:val="0"/>
              <w:widowControl/>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p>
          <w:p w14:paraId="7430D3A7">
            <w:pPr>
              <w:pStyle w:val="5"/>
              <w:keepNext w:val="0"/>
              <w:keepLines w:val="0"/>
              <w:widowControl/>
              <w:suppressLineNumbers w:val="0"/>
              <w:spacing w:before="0" w:beforeAutospacing="0" w:after="0" w:afterAutospacing="0"/>
              <w:ind w:left="0" w:right="0"/>
              <w:rPr>
                <w:rFonts w:hint="eastAsia"/>
                <w:lang w:val="en-US" w:eastAsia="zh-CN"/>
              </w:rPr>
            </w:pPr>
          </w:p>
          <w:p w14:paraId="2687616B">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AI简历打印一体机</w:t>
            </w:r>
          </w:p>
        </w:tc>
        <w:tc>
          <w:tcPr>
            <w:tcW w:w="6135" w:type="dxa"/>
          </w:tcPr>
          <w:p w14:paraId="7CFFE0C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设备参考尺寸：≥650mm*600mm*1890mm</w:t>
            </w:r>
          </w:p>
          <w:p w14:paraId="35C0186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一、硬件参数：</w:t>
            </w:r>
          </w:p>
          <w:p w14:paraId="4296B89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1.电容触摸显示器：</w:t>
            </w:r>
          </w:p>
          <w:p w14:paraId="48EAFD3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双屏幕≥21英寸LED全彩显示器</w:t>
            </w:r>
          </w:p>
          <w:p w14:paraId="4979AB0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分辨率：≥1920*1080</w:t>
            </w:r>
          </w:p>
          <w:p w14:paraId="2CFDB00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亮度：</w:t>
            </w:r>
            <w:r>
              <w:rPr>
                <w:rFonts w:hint="eastAsia" w:ascii="仿宋" w:hAnsi="仿宋" w:eastAsia="仿宋" w:cs="仿宋"/>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350cd/m²</w:t>
            </w:r>
          </w:p>
          <w:p w14:paraId="757BCCC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材质：支持VGA/HDMI信号输入</w:t>
            </w:r>
          </w:p>
          <w:p w14:paraId="127D861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表面硬度：≥3级</w:t>
            </w:r>
          </w:p>
          <w:p w14:paraId="0260431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符合防尘要求，触摸坐标分辨率：≥4096*4096</w:t>
            </w:r>
          </w:p>
          <w:p w14:paraId="4E28449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透光率：≥95%</w:t>
            </w:r>
          </w:p>
          <w:p w14:paraId="001BBCC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定位精度：≤3mm</w:t>
            </w:r>
          </w:p>
          <w:p w14:paraId="0BE477B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反应时间：≤2ms</w:t>
            </w:r>
          </w:p>
          <w:p w14:paraId="3FDA052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2.工控主机：</w:t>
            </w:r>
          </w:p>
          <w:p w14:paraId="55822FA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内存：≥8GB</w:t>
            </w:r>
          </w:p>
          <w:p w14:paraId="01B34A1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存储：≥128G</w:t>
            </w:r>
          </w:p>
          <w:p w14:paraId="31D051E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3.彩色打印机：</w:t>
            </w:r>
          </w:p>
          <w:p w14:paraId="2B43258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打印类型：彩色激光打印机</w:t>
            </w:r>
          </w:p>
          <w:p w14:paraId="1A59A1E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打印幅面：A4</w:t>
            </w:r>
          </w:p>
          <w:p w14:paraId="2BC6412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打印机分辨率：</w:t>
            </w:r>
            <w:r>
              <w:rPr>
                <w:rFonts w:hint="eastAsia" w:ascii="仿宋" w:hAnsi="仿宋" w:eastAsia="仿宋" w:cs="仿宋"/>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600×600dpi</w:t>
            </w:r>
          </w:p>
          <w:p w14:paraId="47577F8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打印速度：</w:t>
            </w:r>
            <w:r>
              <w:rPr>
                <w:rFonts w:hint="eastAsia" w:ascii="仿宋" w:hAnsi="仿宋" w:eastAsia="仿宋" w:cs="仿宋"/>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15ppm(A4)</w:t>
            </w:r>
          </w:p>
          <w:p w14:paraId="01FDFC6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标准纸盒容量：150页</w:t>
            </w:r>
          </w:p>
          <w:p w14:paraId="6C59E15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通讯接口：USB</w:t>
            </w:r>
          </w:p>
          <w:p w14:paraId="411F8D3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4.机柜：</w:t>
            </w:r>
          </w:p>
          <w:p w14:paraId="728BF6A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自助机箱：1.5-2.0mm冷轧钢板，表面酸洗+磷化+高温喷塑处理，具有防锈、防磁、防静电功能；防撬高级锁具，独立散热系统，模块化设计</w:t>
            </w:r>
          </w:p>
          <w:p w14:paraId="01AFFD0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整机电路：具有过压、过流、短路保护；</w:t>
            </w:r>
          </w:p>
          <w:p w14:paraId="30210C8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5.其他参数：</w:t>
            </w:r>
          </w:p>
          <w:p w14:paraId="5B426B8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输入电源：100-240V/（50Hz）</w:t>
            </w:r>
          </w:p>
          <w:p w14:paraId="14DCD97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整机功耗：＜100W</w:t>
            </w:r>
          </w:p>
          <w:p w14:paraId="45FFCA8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待机功耗：＜1W</w:t>
            </w:r>
          </w:p>
          <w:p w14:paraId="70F7CFE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工作温度：0℃-50℃</w:t>
            </w:r>
          </w:p>
          <w:p w14:paraId="53C1EAE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工作湿度：10%-90%</w:t>
            </w:r>
          </w:p>
          <w:p w14:paraId="302ABFB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
              </w:rPr>
              <w:t>6.功能要求：</w:t>
            </w:r>
          </w:p>
          <w:p w14:paraId="0AEDCE2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CN"/>
              </w:rPr>
              <w:t>需与</w:t>
            </w:r>
            <w:r>
              <w:rPr>
                <w:rFonts w:hint="eastAsia" w:ascii="宋体" w:hAnsi="宋体" w:eastAsia="宋体" w:cs="宋体"/>
                <w:color w:val="auto"/>
                <w:sz w:val="21"/>
                <w:szCs w:val="21"/>
                <w:highlight w:val="none"/>
                <w:lang w:val="en-US" w:eastAsia="zh"/>
              </w:rPr>
              <w:t>AI简历系统进行联调适配。</w:t>
            </w:r>
          </w:p>
        </w:tc>
        <w:tc>
          <w:tcPr>
            <w:tcW w:w="666" w:type="dxa"/>
            <w:shd w:val="clear" w:color="auto" w:fill="auto"/>
            <w:vAlign w:val="center"/>
          </w:tcPr>
          <w:p w14:paraId="02409B96">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snapToGrid w:val="0"/>
                <w:color w:val="auto"/>
                <w:kern w:val="0"/>
                <w:sz w:val="20"/>
                <w:szCs w:val="20"/>
                <w:highlight w:val="none"/>
                <w:u w:val="none"/>
                <w:lang w:val="en-US" w:eastAsia="zh-CN" w:bidi="ar"/>
              </w:rPr>
            </w:pPr>
          </w:p>
          <w:p w14:paraId="31B743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auto"/>
                <w:kern w:val="0"/>
                <w:sz w:val="20"/>
                <w:szCs w:val="20"/>
                <w:highlight w:val="none"/>
                <w:u w:val="none"/>
                <w:lang w:val="en-US" w:eastAsia="zh-CN" w:bidi="ar"/>
              </w:rPr>
            </w:pPr>
          </w:p>
          <w:p w14:paraId="16FF6070">
            <w:pPr>
              <w:pStyle w:val="4"/>
              <w:keepNext w:val="0"/>
              <w:keepLines w:val="0"/>
              <w:widowControl/>
              <w:suppressLineNumbers w:val="0"/>
              <w:spacing w:before="0" w:beforeAutospacing="0" w:after="0" w:afterAutospacing="0"/>
              <w:ind w:left="0" w:right="0"/>
              <w:rPr>
                <w:rFonts w:hint="eastAsia"/>
                <w:lang w:val="en-US" w:eastAsia="zh-CN"/>
              </w:rPr>
            </w:pPr>
          </w:p>
          <w:p w14:paraId="2A49833E">
            <w:pPr>
              <w:pStyle w:val="5"/>
              <w:keepNext w:val="0"/>
              <w:keepLines w:val="0"/>
              <w:widowControl/>
              <w:suppressLineNumbers w:val="0"/>
              <w:spacing w:before="0" w:beforeAutospacing="0" w:after="0" w:afterAutospacing="0"/>
              <w:ind w:left="0" w:right="0"/>
              <w:rPr>
                <w:rFonts w:hint="eastAsia"/>
                <w:lang w:val="en-US" w:eastAsia="zh-CN"/>
              </w:rPr>
            </w:pPr>
          </w:p>
          <w:p w14:paraId="748C90C9">
            <w:pPr>
              <w:keepNext w:val="0"/>
              <w:keepLines w:val="0"/>
              <w:widowControl/>
              <w:suppressLineNumbers w:val="0"/>
              <w:spacing w:before="0" w:beforeAutospacing="0" w:after="0" w:afterAutospacing="0"/>
              <w:ind w:left="0" w:right="0"/>
              <w:rPr>
                <w:rFonts w:hint="eastAsia"/>
                <w:lang w:val="en-US" w:eastAsia="zh-CN"/>
              </w:rPr>
            </w:pPr>
          </w:p>
          <w:p w14:paraId="63C44F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snapToGrid w:val="0"/>
                <w:color w:val="auto"/>
                <w:sz w:val="20"/>
                <w:szCs w:val="20"/>
                <w:highlight w:val="none"/>
                <w:vertAlign w:val="baseline"/>
                <w:lang w:val="en-US" w:eastAsia="zh-CN" w:bidi="ar-SA"/>
              </w:rPr>
            </w:pPr>
            <w:r>
              <w:rPr>
                <w:rFonts w:hint="eastAsia" w:ascii="宋体" w:hAnsi="宋体" w:eastAsia="宋体" w:cs="宋体"/>
                <w:i w:val="0"/>
                <w:iCs w:val="0"/>
                <w:snapToGrid w:val="0"/>
                <w:color w:val="auto"/>
                <w:kern w:val="0"/>
                <w:sz w:val="20"/>
                <w:szCs w:val="20"/>
                <w:highlight w:val="none"/>
                <w:u w:val="none"/>
                <w:lang w:val="en-US" w:eastAsia="zh-CN" w:bidi="ar"/>
              </w:rPr>
              <w:t>台</w:t>
            </w:r>
          </w:p>
        </w:tc>
        <w:tc>
          <w:tcPr>
            <w:tcW w:w="673" w:type="dxa"/>
            <w:vAlign w:val="center"/>
          </w:tcPr>
          <w:p w14:paraId="26B378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28B2E2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5A0E99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674E6E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03837D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7312B0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0"/>
                <w:szCs w:val="20"/>
                <w:highlight w:val="none"/>
                <w:vertAlign w:val="baseline"/>
                <w:lang w:val="en-US" w:eastAsia="zh-CN"/>
              </w:rPr>
            </w:pPr>
          </w:p>
          <w:p w14:paraId="75D730A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1</w:t>
            </w:r>
          </w:p>
        </w:tc>
      </w:tr>
      <w:tr w14:paraId="4410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47DFB162">
            <w:pPr>
              <w:keepNext w:val="0"/>
              <w:keepLines w:val="0"/>
              <w:widowControl/>
              <w:suppressLineNumbers w:val="0"/>
              <w:spacing w:before="0" w:beforeAutospacing="0" w:after="0" w:afterAutospacing="0"/>
              <w:ind w:left="0" w:right="0"/>
              <w:jc w:val="center"/>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1448" w:type="dxa"/>
            <w:shd w:val="clear" w:color="auto" w:fill="auto"/>
            <w:vAlign w:val="center"/>
          </w:tcPr>
          <w:p w14:paraId="1FD2E8E4">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AI模拟面试系统</w:t>
            </w:r>
          </w:p>
        </w:tc>
        <w:tc>
          <w:tcPr>
            <w:tcW w:w="6135" w:type="dxa"/>
          </w:tcPr>
          <w:p w14:paraId="57944BC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一、学生端</w:t>
            </w:r>
          </w:p>
          <w:p w14:paraId="0DA1A6B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●1.面试形式自主选择</w:t>
            </w:r>
          </w:p>
          <w:p w14:paraId="41A3D1E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（1）职位面试功能：系统搭载AI数字人交互系统，提供不低于800个通用模拟面试岗位，覆盖不少于50个主流行业</w:t>
            </w:r>
            <w:r>
              <w:rPr>
                <w:rFonts w:hint="eastAsia" w:ascii="宋体" w:hAnsi="宋体" w:eastAsia="宋体" w:cs="宋体"/>
                <w:b/>
                <w:bCs/>
                <w:color w:val="auto"/>
                <w:sz w:val="21"/>
                <w:szCs w:val="21"/>
                <w:highlight w:val="none"/>
                <w:lang w:val="en-US" w:eastAsia="zh"/>
              </w:rPr>
              <w:t>，</w:t>
            </w:r>
            <w:r>
              <w:rPr>
                <w:rFonts w:hint="eastAsia" w:ascii="宋体" w:hAnsi="宋体" w:eastAsia="宋体" w:cs="宋体"/>
                <w:b/>
                <w:bCs/>
                <w:color w:val="auto"/>
                <w:sz w:val="21"/>
                <w:szCs w:val="21"/>
                <w:highlight w:val="none"/>
                <w:lang w:val="en-US" w:eastAsia="zh-CN"/>
              </w:rPr>
              <w:t>每个行业配套岗位数量均不低于5个。提供职位搜索功能，学生可通过关键词快速定位到具体职位。</w:t>
            </w:r>
          </w:p>
          <w:p w14:paraId="7CEF0AE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（2）职位面试功能拓展：学生可在系统已有面试职位中上传个人简历，系统将在已有面试题目的基础上结合简历内容增加个性化面试题目。</w:t>
            </w:r>
          </w:p>
          <w:p w14:paraId="7D4F4E8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（3）简历面试功能：支持学生上传个人简历，自主设置面试阶段、面试语种、岗位职责，系统将生成个性化面试题目并开展模拟面试。</w:t>
            </w:r>
          </w:p>
          <w:p w14:paraId="4864099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2.面试过程与智能交互</w:t>
            </w:r>
          </w:p>
          <w:p w14:paraId="3D5440E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（1）面试基础信息展示：进入面试前展示岗位基础信息、介绍视频等基础信息。</w:t>
            </w:r>
          </w:p>
          <w:p w14:paraId="08486BFE">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▲（2）智能追问体验：AI面试过程会根据学生回答的完整程度进行智能追问，适配真实面试场景。</w:t>
            </w:r>
          </w:p>
          <w:p w14:paraId="523502C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3.面试报告获取与下载</w:t>
            </w:r>
          </w:p>
          <w:p w14:paraId="4A20D12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（1）面试报告生成与下载：学生端面试结束后可在后台自动生成面试报告，支持下载pdf版面试报告。</w:t>
            </w:r>
          </w:p>
          <w:p w14:paraId="21FAEEF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（2）职场能力分析评价：依托AI大模型对候选人的职场能力进行深度分析评价，系统梳理现存能力短板与提升方向。</w:t>
            </w:r>
          </w:p>
          <w:p w14:paraId="7CB7564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（3）AI面试视频展示：报告可回放查看AI面试过程中录制的候选人面试视频。</w:t>
            </w:r>
          </w:p>
          <w:p w14:paraId="7176470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（4）回答内容文字转化与展示：报告可将AI视频面试中学生的回答内容自动转化为文字版本并展示。</w:t>
            </w:r>
          </w:p>
          <w:p w14:paraId="272127F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▲4.多端全设备适配</w:t>
            </w:r>
          </w:p>
          <w:p w14:paraId="14020CA6">
            <w:pPr>
              <w:keepNext w:val="0"/>
              <w:keepLines w:val="0"/>
              <w:widowControl/>
              <w:numPr>
                <w:ilvl w:val="0"/>
                <w:numId w:val="1"/>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支持小程序、网页、H5多端访问，适配手机、平板、电脑全设备场景；支持嵌入学校官方微信公众号、官网等多平台统一登录使用。</w:t>
            </w:r>
          </w:p>
          <w:p w14:paraId="78AC5851">
            <w:pPr>
              <w:keepNext w:val="0"/>
              <w:keepLines w:val="0"/>
              <w:widowControl/>
              <w:numPr>
                <w:ilvl w:val="0"/>
                <w:numId w:val="1"/>
              </w:numPr>
              <w:suppressLineNumbers w:val="0"/>
              <w:spacing w:before="0" w:beforeAutospacing="0" w:after="0" w:afterAutospacing="0" w:line="240" w:lineRule="auto"/>
              <w:ind w:left="0" w:right="0"/>
              <w:jc w:val="left"/>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学校智慧校园采用金智的平台，并提供标准的开放接口，需与金智平台进行统一身份登录。</w:t>
            </w:r>
          </w:p>
          <w:p w14:paraId="2D48455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二、管理端</w:t>
            </w:r>
          </w:p>
          <w:p w14:paraId="5832B88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1.岗位库自定义管理</w:t>
            </w:r>
          </w:p>
          <w:p w14:paraId="1333837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▲（1）自定义添加岗位信息：支持手动添加新职位信息，可配置岗位基础信息、介绍视频、AI面试题目等多维度内容，满足个性化招聘实训、面试练习定制需求。</w:t>
            </w:r>
          </w:p>
          <w:p w14:paraId="6D10735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●2.面试题目与流程自定义配置</w:t>
            </w:r>
          </w:p>
          <w:p w14:paraId="784E49E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（1）内置AI面试题目库：系统内置涵盖基本素质、抗压能力、沟通协作、执行能力、认知水平等</w:t>
            </w:r>
            <w:r>
              <w:rPr>
                <w:rFonts w:hint="eastAsia" w:ascii="仿宋" w:hAnsi="仿宋" w:eastAsia="仿宋" w:cs="仿宋"/>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2000个模块的AI题目，满足不同岗位与能力维度的面试练习需求，适配学生各类面试场景。</w:t>
            </w:r>
          </w:p>
          <w:p w14:paraId="17BB1F1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（2）面试题目自主配置：可根据不同岗位自主调整面试题目数量，支持一键组题与随机出题，适配各类实训考核场景。</w:t>
            </w:r>
          </w:p>
          <w:p w14:paraId="1044531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（3）追问功能自定义设置：支持自主配置AI追问功能，可依据学校个性化需求调整追问题目数量与每道题的追问次数，追问次数上限可配置最低</w:t>
            </w:r>
            <w:r>
              <w:rPr>
                <w:rFonts w:hint="eastAsia" w:ascii="仿宋" w:hAnsi="仿宋" w:eastAsia="仿宋" w:cs="仿宋"/>
                <w:b/>
                <w:bCs/>
                <w:color w:val="auto"/>
                <w:sz w:val="21"/>
                <w:szCs w:val="21"/>
                <w:highlight w:val="none"/>
                <w:lang w:val="en-US" w:eastAsia="zh-CN"/>
              </w:rPr>
              <w:t>≥</w:t>
            </w:r>
            <w:r>
              <w:rPr>
                <w:rFonts w:hint="default" w:ascii="仿宋" w:hAnsi="仿宋" w:eastAsia="仿宋" w:cs="仿宋"/>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次，定制化考核学生能力。</w:t>
            </w:r>
          </w:p>
          <w:p w14:paraId="2B226FE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（4）多语言考核配置：可按需开启普通话、英语、日语、粤语、法语等多语种面试考核模式，适配多语言实训教学需求。</w:t>
            </w:r>
          </w:p>
          <w:p w14:paraId="3A3AF32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（5）题目权重设置：可依托岗位模型与试题库AI自动生成考核维度基准权重，同时支持手动调整每一道题目的评分权重，与考核标准匹配。</w:t>
            </w:r>
          </w:p>
          <w:p w14:paraId="77B5AFA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3.面试结果评价与精细化管控</w:t>
            </w:r>
          </w:p>
          <w:p w14:paraId="6F237AA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（1）面试视频回放评估：教师可对学生AI面试录制视频进行回放，直观评估学生面试表现与临场状态。</w:t>
            </w:r>
          </w:p>
          <w:p w14:paraId="2203563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（2）面试文字内容查阅分析：可查看学生面试回答的自动转文字内容，便捷开展细节查阅、答题逻辑分析与针对性指导。</w:t>
            </w:r>
          </w:p>
          <w:p w14:paraId="42966F5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（3）面试结果手动调整功能：每个AI视频题目均可手动调整评价分数与评价内容，确保面试评价的灵活性与准确性。</w:t>
            </w:r>
          </w:p>
          <w:p w14:paraId="3C992B4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（4）面试报告分享功能：教师端支持生成专属分享链接，与其他教学管理人员共享学生面试结果，协同开展教学评估。</w:t>
            </w:r>
          </w:p>
          <w:p w14:paraId="2F0F9FB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
              </w:rPr>
              <w:t>4.</w:t>
            </w:r>
            <w:r>
              <w:rPr>
                <w:rFonts w:hint="eastAsia" w:ascii="宋体" w:hAnsi="宋体" w:eastAsia="宋体" w:cs="宋体"/>
                <w:b/>
                <w:bCs/>
                <w:color w:val="auto"/>
                <w:sz w:val="21"/>
                <w:szCs w:val="21"/>
                <w:highlight w:val="none"/>
                <w:lang w:val="en-US" w:eastAsia="zh-CN"/>
              </w:rPr>
              <w:t>后台权限与信息综合管理</w:t>
            </w:r>
          </w:p>
          <w:p w14:paraId="3C3A87C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（1）职位组管理：可根据面试实训需求设置专属职位组，支持指定学生参与对应岗位面试，可自定义设置学生面试岗位次数、总面试次数、面试报告查看权限，全面满足院校面试训练、实训教学需求。</w:t>
            </w:r>
          </w:p>
          <w:p w14:paraId="6A03BDD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（2）候选人信息字段显示与导出：支持批量导入学生信息，系统列表可清晰地展示候选人姓名、院系、专业等核心字段信息，便于统一管理学生实训数据。</w:t>
            </w:r>
          </w:p>
          <w:p w14:paraId="6A4A7DB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（3）面试报告管理：可根据状态、院校、院系、专业、班级等维度筛选面试报告，同时支持一键导出所有学生面试结果，教师依托数据开展针对性教学指导。</w:t>
            </w:r>
          </w:p>
          <w:p w14:paraId="2F62E55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（4）教师账号权限分级管理：支持批量导入教师账号，可按院系、专业、班级为教师分配差异化功能权限；同时支持自定义权限设置，精细化管控后台功能使用权限。</w:t>
            </w:r>
          </w:p>
          <w:p w14:paraId="36558CC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5.数据统计与可视化展示</w:t>
            </w:r>
          </w:p>
          <w:p w14:paraId="634D4FA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（1）数据统计与汇总功能：数据统计后台可对学生总数、面试次数、面试职位个数、面试分布时间等面试数据进行汇总，并可通过多维度标签筛选，便于教师快速获取核心实训数据。</w:t>
            </w:r>
          </w:p>
          <w:p w14:paraId="200510E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（2）综合得分与细节图形化展示：以图形化形式直观展示学生的面试综合得分及各项能力细节得分，清晰呈现学生面试表现优劣，助力教师快速研判学生实训情况、优化教学方案。</w:t>
            </w:r>
          </w:p>
          <w:p w14:paraId="51F69C4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三、系统能力</w:t>
            </w:r>
          </w:p>
          <w:p w14:paraId="47EBAE5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1.深度融合主流AI大模型技术。</w:t>
            </w:r>
          </w:p>
          <w:p w14:paraId="79DB3BA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2.AI模拟面试系统须具备完整知识产权。</w:t>
            </w:r>
          </w:p>
        </w:tc>
        <w:tc>
          <w:tcPr>
            <w:tcW w:w="666" w:type="dxa"/>
            <w:shd w:val="clear" w:color="auto" w:fill="auto"/>
            <w:vAlign w:val="center"/>
          </w:tcPr>
          <w:p w14:paraId="184E7A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snapToGrid w:val="0"/>
                <w:color w:val="auto"/>
                <w:sz w:val="20"/>
                <w:szCs w:val="20"/>
                <w:highlight w:val="none"/>
                <w:vertAlign w:val="baseline"/>
                <w:lang w:val="en-US" w:eastAsia="zh-CN" w:bidi="ar-SA"/>
              </w:rPr>
            </w:pPr>
            <w:r>
              <w:rPr>
                <w:rFonts w:hint="eastAsia" w:ascii="宋体" w:hAnsi="宋体" w:eastAsia="宋体" w:cs="宋体"/>
                <w:i w:val="0"/>
                <w:iCs w:val="0"/>
                <w:snapToGrid w:val="0"/>
                <w:color w:val="auto"/>
                <w:kern w:val="0"/>
                <w:sz w:val="20"/>
                <w:szCs w:val="20"/>
                <w:highlight w:val="none"/>
                <w:u w:val="none"/>
                <w:lang w:val="en-US" w:eastAsia="zh-CN" w:bidi="ar"/>
              </w:rPr>
              <w:t>年</w:t>
            </w:r>
          </w:p>
        </w:tc>
        <w:tc>
          <w:tcPr>
            <w:tcW w:w="673" w:type="dxa"/>
            <w:vAlign w:val="center"/>
          </w:tcPr>
          <w:p w14:paraId="6E6E15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5</w:t>
            </w:r>
          </w:p>
        </w:tc>
      </w:tr>
      <w:tr w14:paraId="7604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587B3145">
            <w:pPr>
              <w:keepNext w:val="0"/>
              <w:keepLines w:val="0"/>
              <w:widowControl/>
              <w:suppressLineNumbers w:val="0"/>
              <w:spacing w:before="0" w:beforeAutospacing="0" w:after="0" w:afterAutospacing="0"/>
              <w:ind w:left="0" w:right="0"/>
              <w:jc w:val="center"/>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w:t>
            </w:r>
          </w:p>
        </w:tc>
        <w:tc>
          <w:tcPr>
            <w:tcW w:w="1448" w:type="dxa"/>
            <w:shd w:val="clear" w:color="auto" w:fill="auto"/>
            <w:vAlign w:val="center"/>
          </w:tcPr>
          <w:p w14:paraId="77956874">
            <w:pPr>
              <w:pStyle w:val="4"/>
              <w:keepNext w:val="0"/>
              <w:keepLines w:val="0"/>
              <w:widowControl/>
              <w:suppressLineNumbers w:val="0"/>
              <w:spacing w:before="0" w:beforeAutospacing="0" w:after="0" w:afterAutospacing="0"/>
              <w:ind w:left="0" w:right="0"/>
              <w:rPr>
                <w:rFonts w:hint="default"/>
                <w:color w:val="auto"/>
                <w:lang w:val="en-US" w:eastAsia="zh-CN"/>
              </w:rPr>
            </w:pPr>
            <w:r>
              <w:rPr>
                <w:rFonts w:hint="eastAsia" w:ascii="宋体" w:hAnsi="宋体" w:eastAsia="宋体" w:cs="宋体"/>
                <w:color w:val="auto"/>
                <w:sz w:val="21"/>
                <w:szCs w:val="21"/>
                <w:highlight w:val="none"/>
                <w:lang w:val="en-US" w:eastAsia="zh-CN"/>
              </w:rPr>
              <w:t>AI面试舱</w:t>
            </w:r>
          </w:p>
        </w:tc>
        <w:tc>
          <w:tcPr>
            <w:tcW w:w="6135" w:type="dxa"/>
          </w:tcPr>
          <w:p w14:paraId="2645E2A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一、舱体硬件参数：</w:t>
            </w:r>
          </w:p>
          <w:p w14:paraId="39346D4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面试舱内硬件含：1.静音舱  2.室内照明系统 3.室内换气排风系统 4.电子智能门锁5.桌椅</w:t>
            </w:r>
          </w:p>
          <w:p w14:paraId="100ADEB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主要参数：</w:t>
            </w:r>
          </w:p>
          <w:p w14:paraId="0039EF0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尺寸：≥1300mm*1200mm*2200mm</w:t>
            </w:r>
          </w:p>
          <w:p w14:paraId="0B17E9B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性能：电压：220v±10%  </w:t>
            </w:r>
          </w:p>
          <w:p w14:paraId="15916D8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功率：≤100w</w:t>
            </w:r>
          </w:p>
          <w:p w14:paraId="58DD3E3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材质：产品四角为圆弧型，主体框架采用加强型2.4mm航空铝合金型材框架做支撑。</w:t>
            </w:r>
          </w:p>
          <w:p w14:paraId="58E9F4F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面材：采用经优质环氢塑脂粉末静电喷漆，环保无气味，无毒害，美观大方，光亮平整，舱体门内外采用航空级铝合金门框和8mm隔音钢化玻璃门、配电子智能门锁，其他墙体15mm高密度环保防火隔音家具板+9mm高密度聚酯纤维吸音板+9mm高密度聚酯纤维吸音板，由内到外形成 隔音，减震，吸音结构。</w:t>
            </w:r>
          </w:p>
          <w:p w14:paraId="1C90E8BE">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特性：满足吸音 隔音 减震 阻燃 环保特征。环保吸音材质，防火等级国家联运防火标准A级要求。环保E1级，防水防潮，耐腐烛。</w:t>
            </w:r>
          </w:p>
          <w:p w14:paraId="07E695A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影响办公区域内的无线信号覆盖；舱内安装空气排风循环系统，换气次数≥15次/h，提供有效的空气流动组织，机械进风和排气，宜设置自然补风口，补风量按不小于50%机械排风量计算；风扇风机运行的噪音对舱内和舱外的区域不产生影响，排气扇噪音≤35db ；自然补风系统需满足隔音要求；房间内配置照明系统，顶部≥6500K LED吸顶灯，方便更换，照度均匀；房间内配置电源系统，满足220V电源需求，1个五孔插座带USB，1个网线接口。</w:t>
            </w:r>
          </w:p>
          <w:p w14:paraId="5B85A0A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地毯：采用不低于1.0mm高聚丙烯吸音地毯。可完整覆盖，吸音效果好。</w:t>
            </w:r>
          </w:p>
          <w:p w14:paraId="2FF1183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产品模块化设计级安装，产品中性包装 ，包装整洁商务，能满足保存放置条件，避免运输过程的破损、设备损坏。</w:t>
            </w:r>
          </w:p>
          <w:p w14:paraId="77BE45B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内饰无胶，隔音材质内厢式在铝合金框体里。                                     </w:t>
            </w:r>
          </w:p>
          <w:p w14:paraId="49A9049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室内温差：≤2℃                        </w:t>
            </w:r>
          </w:p>
          <w:p w14:paraId="34C3D8A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机柜：主体框架采用加强型2.4mm航空铝合金型材框架做支撑。</w:t>
            </w:r>
          </w:p>
          <w:p w14:paraId="34BD9F1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面材：采用经优质环氢塑脂粉末静电喷漆，环保无气味，无毒害，美观大方，光亮平整。</w:t>
            </w:r>
          </w:p>
          <w:p w14:paraId="2D4C96A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内配置：LED照明系统，内外循环静音通风系统。五孔电源插座带USB接口，开关面板，电子智能门锁（优质电子智能门锁，保证密闭和实用寿命长以及安全性能），超长外接电源线1根，配隔音地毯1张（TPE胶底超强防滑、轻便稳固）自带移动滑轮和固定轮（移动固定随心切换）可调节面试带升降座椅、一体化立式桌子。</w:t>
            </w:r>
          </w:p>
          <w:p w14:paraId="345C921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二、面试终端参数：</w:t>
            </w:r>
          </w:p>
          <w:p w14:paraId="7E90BEA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1.电容触摸显示器：≥21.5英寸 LED 全彩显示器</w:t>
            </w:r>
          </w:p>
          <w:p w14:paraId="223E6D7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分辨率：≥1920*1080</w:t>
            </w:r>
          </w:p>
          <w:p w14:paraId="0539353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亮度：不低于250cd/m²</w:t>
            </w:r>
          </w:p>
          <w:p w14:paraId="40107AA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材质：嵌入电容触摸屏+开模塑料外壳</w:t>
            </w:r>
          </w:p>
          <w:p w14:paraId="38A39BA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表面硬度莫氏：≥3级</w:t>
            </w:r>
          </w:p>
          <w:p w14:paraId="40D540C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符合防尘、坐标分辨率：≥4096*4096</w:t>
            </w:r>
          </w:p>
          <w:p w14:paraId="26DCF2A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透光率：≥ 95%</w:t>
            </w:r>
          </w:p>
          <w:p w14:paraId="503030AE">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定位精度：≤3mm</w:t>
            </w:r>
          </w:p>
          <w:p w14:paraId="26DB674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反应时间：≤2ms</w:t>
            </w:r>
          </w:p>
          <w:p w14:paraId="512FD26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2.工控主机：主控模块内存：≥8GB</w:t>
            </w:r>
          </w:p>
          <w:p w14:paraId="7A1CB56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存储：≥128G SSD</w:t>
            </w:r>
          </w:p>
          <w:p w14:paraId="6489048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3.摄像头：不低于单目500W</w:t>
            </w:r>
          </w:p>
          <w:p w14:paraId="53668B3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4.机柜：整机符合人体工程学设计;1.5-2.0mm 冷轧钢板，表面酸洗+磷化+高温喷塑处理具有防锈、防磁、防静电功能;模块化设计方便维护</w:t>
            </w:r>
          </w:p>
          <w:p w14:paraId="0F60A22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整机电路：具有过压、过流、短路保护;负载稳定度:±1%;典型电压稳定度:0.5%;典型值纹波及噪声:1%;峰值&gt;50000小时无故障率。</w:t>
            </w:r>
          </w:p>
          <w:p w14:paraId="51C2727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5.键盘鼠标：内含键盘鼠标一套。</w:t>
            </w:r>
          </w:p>
          <w:p w14:paraId="7F92CF1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三、支持在线预约，预约系统需具备以下功能：</w:t>
            </w:r>
          </w:p>
          <w:p w14:paraId="12311D3F">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1.易维护性：采用代码维护、参数配置等措施，确保用户可自行维护系统基础设置数据项。</w:t>
            </w:r>
          </w:p>
          <w:p w14:paraId="147F9A7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2.易恢复性:系统具备良好的易恢复性，系统在发生故障或数据丢失时能够迅速恢复正常运行，并保证数据的完整性和可靠性。</w:t>
            </w:r>
          </w:p>
          <w:p w14:paraId="71B6837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3.系统应支持插件化的设计，以便将来可以根据需要灵活添加新的功能模块或服务。</w:t>
            </w:r>
          </w:p>
          <w:p w14:paraId="129D5F5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4.系统可保证客户端用Window 7、Window 8、Win10等常用操作系统（含家庭版、专业版、旗舰版等各种版本）的正常使用，浏览器支持IE9.0及以上版本，并支持Google Chrome、Firefox、360等主流浏览器。</w:t>
            </w:r>
          </w:p>
          <w:p w14:paraId="65A4F1A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5.小程序使用iPhone用户要求搭载最低版本的iOS13系统，安卓用户要求搭载最低安卓版本为6.0系统，鸿蒙用户要求搭载HarmonyOS 2.0 及以上系统，并且要求安装可以支持小程序的最新版本微信。</w:t>
            </w:r>
          </w:p>
          <w:p w14:paraId="78BB096E">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6.系统设置：包含账号设置、院校信息、教师账号管理、院系设置、角色权限设置。</w:t>
            </w:r>
          </w:p>
          <w:p w14:paraId="4BB7BA3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7.面试舱列表：支持添加面试舱，对面试舱的信息进行设置，包含面试舱ID、名称、位置、图片、状态、预约提示等内容。</w:t>
            </w:r>
          </w:p>
          <w:p w14:paraId="64E59977">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8.预约设置：可设置单次可使用时长、可用时间段、允许提前预约天数、每人每日可预约次数。</w:t>
            </w:r>
          </w:p>
          <w:p w14:paraId="1DBF0DF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9.预约记录：记录预约基本信息，包含姓名、学号、面试舱名称、预约日期、预约时间、预约状、预约码等信息。</w:t>
            </w:r>
          </w:p>
          <w:p w14:paraId="193EEB0E">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10.用户端预约：扫码登录面试小程序后，通过点进相关按钮进入预约面试舱界面，选择对应的面试舱进行预约。</w:t>
            </w:r>
          </w:p>
          <w:p w14:paraId="4BCFEA4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11.面试预约功能通过网关交互实现，可以预约的最短周期精确到15min。</w:t>
            </w:r>
          </w:p>
          <w:p w14:paraId="0BB3422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12.确认预约：用户选择面试舱、日期、时间后，进入确认页面。</w:t>
            </w:r>
          </w:p>
          <w:p w14:paraId="04948A6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13.预约码：确认后可生成预约码。</w:t>
            </w:r>
          </w:p>
          <w:p w14:paraId="205E93A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14.系统日志：对于系统的操作及登录需要做详细的日志记录（包含操作账号、操作内容、操作时间等）</w:t>
            </w:r>
          </w:p>
          <w:p w14:paraId="0882966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四、需与</w:t>
            </w:r>
            <w:r>
              <w:rPr>
                <w:rFonts w:hint="eastAsia" w:ascii="宋体" w:hAnsi="宋体" w:eastAsia="宋体" w:cs="宋体"/>
                <w:color w:val="auto"/>
                <w:sz w:val="21"/>
                <w:szCs w:val="21"/>
                <w:highlight w:val="none"/>
                <w:lang w:val="en-US" w:eastAsia="zh"/>
              </w:rPr>
              <w:t>AI模拟面试系统进行联调适配。</w:t>
            </w:r>
          </w:p>
        </w:tc>
        <w:tc>
          <w:tcPr>
            <w:tcW w:w="666" w:type="dxa"/>
            <w:shd w:val="clear" w:color="auto" w:fill="auto"/>
            <w:vAlign w:val="center"/>
          </w:tcPr>
          <w:p w14:paraId="671654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snapToGrid w:val="0"/>
                <w:color w:val="auto"/>
                <w:sz w:val="20"/>
                <w:szCs w:val="20"/>
                <w:highlight w:val="none"/>
                <w:vertAlign w:val="baseline"/>
                <w:lang w:val="en-US" w:eastAsia="zh-CN" w:bidi="ar-SA"/>
              </w:rPr>
            </w:pPr>
            <w:r>
              <w:rPr>
                <w:rFonts w:hint="eastAsia" w:ascii="宋体" w:hAnsi="宋体" w:eastAsia="宋体" w:cs="宋体"/>
                <w:i w:val="0"/>
                <w:iCs w:val="0"/>
                <w:snapToGrid w:val="0"/>
                <w:color w:val="auto"/>
                <w:kern w:val="0"/>
                <w:sz w:val="20"/>
                <w:szCs w:val="20"/>
                <w:highlight w:val="none"/>
                <w:u w:val="none"/>
                <w:lang w:val="en-US" w:eastAsia="zh-CN" w:bidi="ar"/>
              </w:rPr>
              <w:t>台</w:t>
            </w:r>
          </w:p>
        </w:tc>
        <w:tc>
          <w:tcPr>
            <w:tcW w:w="673" w:type="dxa"/>
            <w:vAlign w:val="center"/>
          </w:tcPr>
          <w:p w14:paraId="66BAB2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1</w:t>
            </w:r>
          </w:p>
        </w:tc>
      </w:tr>
      <w:tr w14:paraId="4A30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517" w:type="dxa"/>
            <w:shd w:val="clear" w:color="auto" w:fill="auto"/>
            <w:vAlign w:val="center"/>
          </w:tcPr>
          <w:p w14:paraId="24B0A665">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b w:val="0"/>
                <w:bCs w:val="0"/>
                <w:color w:val="auto"/>
                <w:sz w:val="21"/>
                <w:szCs w:val="21"/>
                <w:highlight w:val="none"/>
                <w:vertAlign w:val="baseline"/>
                <w:lang w:val="en-US" w:eastAsia="zh-CN"/>
                <w:woUserID w:val="2"/>
              </w:rPr>
            </w:pPr>
            <w:r>
              <w:rPr>
                <w:rFonts w:hint="eastAsia" w:ascii="宋体" w:hAnsi="宋体" w:eastAsia="宋体" w:cs="宋体"/>
                <w:b w:val="0"/>
                <w:bCs w:val="0"/>
                <w:color w:val="auto"/>
                <w:sz w:val="21"/>
                <w:szCs w:val="21"/>
                <w:highlight w:val="none"/>
                <w:vertAlign w:val="baseline"/>
                <w:lang w:val="en-US" w:eastAsia="zh-CN"/>
                <w:woUserID w:val="2"/>
              </w:rPr>
              <w:t>5</w:t>
            </w:r>
          </w:p>
        </w:tc>
        <w:tc>
          <w:tcPr>
            <w:tcW w:w="1448" w:type="dxa"/>
            <w:shd w:val="clear" w:color="auto" w:fill="auto"/>
            <w:vAlign w:val="center"/>
          </w:tcPr>
          <w:p w14:paraId="7E6C49AC">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lang w:val="en-US" w:eastAsia="zh"/>
                <w:woUserID w:val="1"/>
              </w:rPr>
            </w:pPr>
            <w:r>
              <w:rPr>
                <w:rFonts w:hint="eastAsia" w:ascii="宋体" w:hAnsi="宋体" w:eastAsia="宋体" w:cs="宋体"/>
                <w:color w:val="auto"/>
                <w:sz w:val="21"/>
                <w:szCs w:val="21"/>
                <w:highlight w:val="none"/>
                <w:lang w:val="en-US" w:eastAsia="zh-CN"/>
                <w:woUserID w:val="2"/>
              </w:rPr>
              <w:t>大就业资讯服务</w:t>
            </w:r>
          </w:p>
        </w:tc>
        <w:tc>
          <w:tcPr>
            <w:tcW w:w="6135" w:type="dxa"/>
          </w:tcPr>
          <w:p w14:paraId="793F76AD">
            <w:pPr>
              <w:keepNext w:val="0"/>
              <w:keepLines w:val="0"/>
              <w:widowControl/>
              <w:numPr>
                <w:ilvl w:val="0"/>
                <w:numId w:val="0"/>
              </w:numPr>
              <w:suppressLineNumbers w:val="0"/>
              <w:spacing w:before="0" w:beforeAutospacing="0" w:after="0" w:afterAutospacing="0" w:line="240" w:lineRule="auto"/>
              <w:ind w:left="0"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▲1.职位资讯</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平台需入驻不少于30000家企业，发布不少于7万条职位，需提供职位推荐、推荐单位、专场推荐等信息。</w:t>
            </w:r>
          </w:p>
          <w:p w14:paraId="1E1219E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2.教师招聘资讯</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需提供最新资讯、招聘公告、备考资料、每日一练、教师资格公告、备考资料、试题资料、课程讲座等内容。</w:t>
            </w:r>
          </w:p>
          <w:p w14:paraId="7FF078F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3.参军资讯</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需提供最新资讯、地方政策、部委政策、政策解读、兵役法规等内容。</w:t>
            </w:r>
          </w:p>
          <w:p w14:paraId="2BFA71B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▲4.考公考编资讯</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需提供国考、省考招考信息、试题资料、政策公告、报名入口、成绩查询；考编模块需提供招考信息、试题资料、政策解读；“三支一扶”和选调生模块需提供最新资讯、招考信息、报考指导。</w:t>
            </w:r>
          </w:p>
          <w:p w14:paraId="57FB658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5.赛事资讯</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需提供双创政策、创赛动态、赛事通知、生涯规划课等内容。</w:t>
            </w:r>
          </w:p>
          <w:p w14:paraId="25D29B1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6.职业规划板块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需涵盖职业生涯资讯、职业生涯感悟、课程讲座三大栏目，支持课程随时观看。</w:t>
            </w:r>
          </w:p>
          <w:p w14:paraId="3F8F888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7.心理辅导板块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需涵盖综合资讯、课程讲座两大栏目，提供心理资讯内容及心理辅导课程。</w:t>
            </w:r>
          </w:p>
          <w:p w14:paraId="11B5A39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●8.就业短视频</w:t>
            </w:r>
            <w:r>
              <w:rPr>
                <w:rFonts w:hint="eastAsia" w:ascii="宋体" w:hAnsi="宋体" w:eastAsia="宋体" w:cs="宋体"/>
                <w:b/>
                <w:bCs/>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需提供不少于150个短视频，包含岗位介绍、考公考编、防坑防骗、应届生实习手册等内容；需支持抖音、微信视频号等平台搜索进入主页查看。</w:t>
            </w:r>
          </w:p>
          <w:p w14:paraId="7D04735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9.就业直播</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需提供不少于350场直播活动，包含院校直播和就业指导课，直播结束后可查看回放。</w:t>
            </w:r>
          </w:p>
          <w:p w14:paraId="109CA1E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10.政府引才板块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需汇集各地政府经济发展状况、引才政策与资讯、创新创业信息、选调生优选生资讯等。</w:t>
            </w:r>
          </w:p>
          <w:p w14:paraId="579BB60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11.双选云板块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需包含云双选、云宣讲服务，平台需发布不少于1400场双选会，支持学生在线沟通、视频面试、简历投递。</w:t>
            </w:r>
          </w:p>
          <w:p w14:paraId="4612CE2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12.就业锦囊板块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需涵盖教师招聘、试用期生存指南、求职陷阱、政府引才、选调生小百科、社保小百科等专题。</w:t>
            </w:r>
          </w:p>
          <w:p w14:paraId="173893EC">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13.我要考证板块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需提供不少于50种热门职业资格证书的资讯、报考政策、历年资料查询，并提供官方报名入口。</w:t>
            </w:r>
          </w:p>
          <w:p w14:paraId="3E6BE20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●14.就业培训课程中心</w:t>
            </w:r>
            <w:r>
              <w:rPr>
                <w:rFonts w:hint="eastAsia" w:ascii="宋体" w:hAnsi="宋体" w:eastAsia="宋体" w:cs="宋体"/>
                <w:b/>
                <w:bCs/>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需提供不少于7000门课程，包括就业指导、职业考试、考证提升、职场成长、考研百科、创新实践、就业知识科普、IT技能、兴趣生活等板块，支持在线观看。</w:t>
            </w:r>
          </w:p>
          <w:p w14:paraId="36CBFA6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15.资讯更新</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平台全部资讯文章日均更新不少于300篇。</w:t>
            </w:r>
          </w:p>
          <w:p w14:paraId="2804420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16.定制化服务</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需支持按学校需求定制首页排版、服务模块。</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17.以上功能具备完整知识产权，支持提供演示。</w:t>
            </w:r>
          </w:p>
          <w:p w14:paraId="3776A08D">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
              </w:rPr>
              <w:t>.</w:t>
            </w:r>
            <w:r>
              <w:rPr>
                <w:rFonts w:hint="eastAsia" w:ascii="宋体" w:hAnsi="宋体" w:eastAsia="宋体" w:cs="宋体"/>
                <w:color w:val="auto"/>
                <w:sz w:val="21"/>
                <w:szCs w:val="21"/>
                <w:highlight w:val="none"/>
                <w:lang w:val="en-US" w:eastAsia="zh-CN"/>
              </w:rPr>
              <w:t>多端全设备适配：支持网页、H5多端访问，适配手机、平板、电脑等使用场景；支持嵌入学校公众号、官网等平台实现统一登录</w:t>
            </w:r>
            <w:r>
              <w:rPr>
                <w:rFonts w:hint="eastAsia" w:ascii="宋体" w:hAnsi="宋体" w:eastAsia="宋体" w:cs="宋体"/>
                <w:color w:val="auto"/>
                <w:sz w:val="21"/>
                <w:szCs w:val="21"/>
                <w:highlight w:val="none"/>
                <w:lang w:val="en-US" w:eastAsia="zh"/>
              </w:rPr>
              <w:t>。</w:t>
            </w:r>
          </w:p>
          <w:p w14:paraId="6FD76B8F">
            <w:pPr>
              <w:keepNext w:val="0"/>
              <w:keepLines w:val="0"/>
              <w:widowControl/>
              <w:numPr>
                <w:ilvl w:val="0"/>
                <w:numId w:val="0"/>
              </w:numPr>
              <w:suppressLineNumbers w:val="0"/>
              <w:spacing w:before="0" w:beforeAutospacing="0" w:after="0" w:afterAutospacing="0" w:line="240" w:lineRule="auto"/>
              <w:ind w:left="0" w:right="0"/>
              <w:jc w:val="left"/>
              <w:rPr>
                <w:rFonts w:hint="default"/>
                <w:color w:val="auto"/>
                <w:highlight w:val="none"/>
                <w:lang w:val="en-US" w:eastAsia="zh-CN"/>
              </w:rPr>
            </w:pPr>
            <w:r>
              <w:rPr>
                <w:rFonts w:hint="eastAsia" w:ascii="宋体" w:hAnsi="宋体" w:eastAsia="宋体" w:cs="宋体"/>
                <w:color w:val="FF0000"/>
                <w:sz w:val="21"/>
                <w:szCs w:val="21"/>
                <w:highlight w:val="none"/>
                <w:lang w:val="en-US" w:eastAsia="zh-CN"/>
              </w:rPr>
              <w:t>19.</w:t>
            </w:r>
            <w:r>
              <w:rPr>
                <w:rFonts w:hint="eastAsia" w:ascii="宋体" w:hAnsi="宋体" w:eastAsia="宋体" w:cs="宋体"/>
                <w:color w:val="FF0000"/>
                <w:sz w:val="21"/>
                <w:szCs w:val="21"/>
                <w:highlight w:val="none"/>
                <w:lang w:val="en-US" w:eastAsia="zh"/>
              </w:rPr>
              <w:t>学校智慧校园采用金智的平台，并提供标准的开放接口，需与金智平台进行统一身份登录。</w:t>
            </w:r>
          </w:p>
        </w:tc>
        <w:tc>
          <w:tcPr>
            <w:tcW w:w="666" w:type="dxa"/>
            <w:shd w:val="clear" w:color="auto" w:fill="auto"/>
            <w:vAlign w:val="center"/>
          </w:tcPr>
          <w:p w14:paraId="7AEFD83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snapToGrid w:val="0"/>
                <w:color w:val="auto"/>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年</w:t>
            </w:r>
          </w:p>
        </w:tc>
        <w:tc>
          <w:tcPr>
            <w:tcW w:w="673" w:type="dxa"/>
            <w:vAlign w:val="center"/>
          </w:tcPr>
          <w:p w14:paraId="3D6C483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5</w:t>
            </w:r>
          </w:p>
        </w:tc>
      </w:tr>
      <w:tr w14:paraId="020E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shd w:val="clear" w:color="auto" w:fill="auto"/>
            <w:vAlign w:val="center"/>
          </w:tcPr>
          <w:p w14:paraId="690A6EA4">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color w:val="auto"/>
                <w:sz w:val="21"/>
                <w:szCs w:val="21"/>
                <w:highlight w:val="none"/>
                <w:vertAlign w:val="baseline"/>
                <w:lang w:val="en-US" w:eastAsia="zh-CN"/>
                <w:woUserID w:val="2"/>
              </w:rPr>
            </w:pPr>
            <w:r>
              <w:rPr>
                <w:rFonts w:hint="eastAsia" w:ascii="宋体" w:hAnsi="宋体" w:eastAsia="宋体" w:cs="宋体"/>
                <w:b w:val="0"/>
                <w:bCs w:val="0"/>
                <w:color w:val="auto"/>
                <w:sz w:val="21"/>
                <w:szCs w:val="21"/>
                <w:highlight w:val="none"/>
                <w:vertAlign w:val="baseline"/>
                <w:lang w:val="en-US" w:eastAsia="zh-CN"/>
                <w:woUserID w:val="2"/>
              </w:rPr>
              <w:t>6</w:t>
            </w:r>
          </w:p>
        </w:tc>
        <w:tc>
          <w:tcPr>
            <w:tcW w:w="1448" w:type="dxa"/>
            <w:shd w:val="clear" w:color="auto" w:fill="auto"/>
            <w:vAlign w:val="center"/>
          </w:tcPr>
          <w:p w14:paraId="7E2E1E3E">
            <w:pPr>
              <w:keepNext w:val="0"/>
              <w:keepLines w:val="0"/>
              <w:widowControl/>
              <w:numPr>
                <w:ilvl w:val="0"/>
                <w:numId w:val="0"/>
              </w:numPr>
              <w:suppressLineNumbers w:val="0"/>
              <w:spacing w:before="0" w:beforeAutospacing="0" w:after="0" w:afterAutospacing="0" w:line="240" w:lineRule="auto"/>
              <w:ind w:left="0" w:leftChars="0" w:right="0" w:firstLine="0" w:firstLineChars="0"/>
              <w:jc w:val="center"/>
              <w:rPr>
                <w:rFonts w:hint="eastAsia" w:ascii="宋体" w:hAnsi="宋体" w:eastAsia="宋体" w:cs="宋体"/>
                <w:snapToGrid w:val="0"/>
                <w:color w:val="auto"/>
                <w:sz w:val="21"/>
                <w:szCs w:val="21"/>
                <w:highlight w:val="none"/>
                <w:lang w:val="en-US" w:eastAsia="zh" w:bidi="ar-SA"/>
                <w:woUserID w:val="2"/>
              </w:rPr>
            </w:pPr>
            <w:bookmarkStart w:id="2" w:name="_GoBack"/>
            <w:r>
              <w:rPr>
                <w:rFonts w:hint="eastAsia" w:ascii="宋体" w:hAnsi="宋体" w:eastAsia="宋体" w:cs="宋体"/>
                <w:color w:val="auto"/>
                <w:sz w:val="21"/>
                <w:szCs w:val="21"/>
                <w:highlight w:val="none"/>
                <w:lang w:val="en-US" w:eastAsia="zh-CN"/>
              </w:rPr>
              <w:t>生源信息展示服务</w:t>
            </w:r>
            <w:bookmarkEnd w:id="2"/>
          </w:p>
        </w:tc>
        <w:tc>
          <w:tcPr>
            <w:tcW w:w="6135" w:type="dxa"/>
          </w:tcPr>
          <w:p w14:paraId="7B9B4E48">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▲1.首页数据统计</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系统需支持查看所有院校数量、当前年份应届毕业生总数、本科与研究生毕业生数量、入驻企业总数、入驻学生简历总数。</w:t>
            </w:r>
          </w:p>
          <w:p w14:paraId="336CBDB3">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2.首页资讯推荐</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系统需在首页轮播处展示推荐资讯标题，点击可查看详情。</w:t>
            </w:r>
          </w:p>
          <w:p w14:paraId="763AFD8A">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3.院校推荐</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系统需展示院校名称、院校层次、院校简介等信息，支持跳转至院校详情页。</w:t>
            </w:r>
          </w:p>
          <w:p w14:paraId="470F9B55">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4.生源信息检索</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系统需支持按毕业年份、学历、生源省份、院校层次等条件筛选检索生源信息。</w:t>
            </w:r>
          </w:p>
          <w:p w14:paraId="50C05D04">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5.列表数据展示</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系统需按院校、专业、生源省份及专业、生源省份四个维度统计展示生源数据。</w:t>
            </w:r>
          </w:p>
          <w:p w14:paraId="300E80BB">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6.列表操作</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企业需支持收藏、职位投送、报名双选会、发布宣讲会、查看招聘指南等操作。</w:t>
            </w:r>
          </w:p>
          <w:p w14:paraId="2241840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7.检索收藏</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系统需支持查看历史收藏的检索记录，包括搜索条件和搜索结果。</w:t>
            </w:r>
          </w:p>
          <w:p w14:paraId="4358A8F1">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8.查看院校数据</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系统需展示院校名称、LOGO等基础数据及院校数据统计，支持院校状态标记，可查看院校各专业详情。</w:t>
            </w:r>
          </w:p>
          <w:p w14:paraId="09DA7270">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▲9.查看人才简历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系统需展示学生年龄、期望职位、期望薪资、工作经历等基础信息；企业点击个人信息可查看在线简历，投递前头像、手机号、邮箱需打码隐藏，投递后解锁。</w:t>
            </w:r>
          </w:p>
          <w:p w14:paraId="5B3D9502">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10.人才列表操作</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企业需支持将人才收藏至企业人才库，支持查看简历、邀约、沟通，支持直接邀请人才投递简历。</w:t>
            </w:r>
          </w:p>
          <w:p w14:paraId="60CD7B4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11.关注院校</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企业关注院校后，当该院校首次有学生简历入驻时，系统需自动发送站内信通知企业查看</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●12.省市毕业生导航</w:t>
            </w:r>
            <w:r>
              <w:rPr>
                <w:rFonts w:hint="eastAsia" w:ascii="宋体" w:hAnsi="宋体" w:eastAsia="宋体" w:cs="宋体"/>
                <w:b/>
                <w:bCs/>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系统需展示全国各省市的本地院校人才数和户口原籍人才数统计，支持进入省市详情页</w:t>
            </w:r>
          </w:p>
          <w:p w14:paraId="3041EE89">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13.省市详情</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系统需展示本省市本地院校数、当前年份应届毕业生数、本科生数、研究生数、已入驻简历数。</w:t>
            </w:r>
          </w:p>
          <w:p w14:paraId="58A39996">
            <w:pPr>
              <w:keepNext w:val="0"/>
              <w:keepLines w:val="0"/>
              <w:widowControl/>
              <w:numPr>
                <w:ilvl w:val="0"/>
                <w:numId w:val="0"/>
              </w:numPr>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
              </w:rPr>
            </w:pPr>
            <w:r>
              <w:rPr>
                <w:rFonts w:hint="eastAsia" w:ascii="宋体" w:hAnsi="宋体" w:eastAsia="宋体" w:cs="宋体"/>
                <w:b/>
                <w:bCs/>
                <w:color w:val="auto"/>
                <w:sz w:val="21"/>
                <w:szCs w:val="21"/>
                <w:highlight w:val="none"/>
                <w:lang w:val="en-US" w:eastAsia="zh-CN"/>
              </w:rPr>
              <w:t>●14.院校毕业生导航</w:t>
            </w:r>
            <w:r>
              <w:rPr>
                <w:rFonts w:hint="eastAsia" w:ascii="宋体" w:hAnsi="宋体" w:eastAsia="宋体" w:cs="宋体"/>
                <w:b/>
                <w:bCs/>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系统需支持按院校省份、院校层次、院校类型、院校名称筛选，支持进入院校详情页查看更多数据。</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15.以上功能具备完整知识产权。</w:t>
            </w:r>
          </w:p>
        </w:tc>
        <w:tc>
          <w:tcPr>
            <w:tcW w:w="666" w:type="dxa"/>
            <w:shd w:val="clear" w:color="auto" w:fill="auto"/>
            <w:vAlign w:val="center"/>
          </w:tcPr>
          <w:p w14:paraId="257F8F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snapToGrid w:val="0"/>
                <w:color w:val="auto"/>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年</w:t>
            </w:r>
          </w:p>
        </w:tc>
        <w:tc>
          <w:tcPr>
            <w:tcW w:w="673" w:type="dxa"/>
            <w:vAlign w:val="center"/>
          </w:tcPr>
          <w:p w14:paraId="7B38FB2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5</w:t>
            </w:r>
          </w:p>
        </w:tc>
      </w:tr>
    </w:tbl>
    <w:p w14:paraId="01E7B294">
      <w:pPr>
        <w:spacing w:line="360" w:lineRule="auto"/>
        <w:rPr>
          <w:rFonts w:hint="eastAsia" w:ascii="宋体" w:hAnsi="宋体" w:eastAsia="宋体" w:cs="宋体"/>
          <w:b w:val="0"/>
          <w:bCs w:val="0"/>
          <w:snapToGrid w:val="0"/>
          <w:color w:val="000000" w:themeColor="text1"/>
          <w:spacing w:val="0"/>
          <w:kern w:val="0"/>
          <w:sz w:val="21"/>
          <w:szCs w:val="21"/>
          <w:highlight w:val="none"/>
          <w:vertAlign w:val="baseli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sz w:val="21"/>
          <w:szCs w:val="21"/>
          <w:highlight w:val="none"/>
          <w:vertAlign w:val="baseline"/>
          <w:lang w:val="en-US" w:eastAsia="zh-CN" w:bidi="ar-SA"/>
          <w14:textFill>
            <w14:solidFill>
              <w14:schemeClr w14:val="tx1"/>
            </w14:solidFill>
          </w14:textFill>
        </w:rPr>
        <w:t>说明：投标产品的各项技术指标不能低于国家强制性标准，否则投标无效。</w:t>
      </w:r>
    </w:p>
    <w:p w14:paraId="536F7ABC">
      <w:pPr>
        <w:pStyle w:val="2"/>
        <w:bidi w:val="0"/>
        <w:rPr>
          <w:rFonts w:hint="eastAsia"/>
          <w:b/>
          <w:highlight w:val="none"/>
          <w:lang w:val="en-US" w:eastAsia="zh-CN"/>
          <w:woUserID w:val="1"/>
        </w:rPr>
      </w:pPr>
      <w:r>
        <w:rPr>
          <w:rFonts w:hint="eastAsia"/>
          <w:highlight w:val="none"/>
          <w:lang w:val="en-US" w:eastAsia="zh"/>
          <w:woUserID w:val="1"/>
        </w:rPr>
        <w:t>三</w:t>
      </w:r>
      <w:r>
        <w:rPr>
          <w:rFonts w:hint="eastAsia"/>
          <w:highlight w:val="none"/>
          <w:lang w:val="en-US" w:eastAsia="zh-CN"/>
          <w:woUserID w:val="1"/>
        </w:rPr>
        <w:t>、</w:t>
      </w:r>
      <w:r>
        <w:rPr>
          <w:rFonts w:hint="eastAsia"/>
          <w:highlight w:val="none"/>
          <w:lang w:val="en-US" w:eastAsia="zh"/>
          <w:woUserID w:val="1"/>
        </w:rPr>
        <w:t>商务</w:t>
      </w:r>
      <w:r>
        <w:rPr>
          <w:rFonts w:hint="eastAsia"/>
          <w:b/>
          <w:highlight w:val="none"/>
          <w:lang w:val="en-US" w:eastAsia="zh-CN"/>
          <w:woUserID w:val="1"/>
        </w:rPr>
        <w:t>要求</w:t>
      </w:r>
    </w:p>
    <w:p w14:paraId="6E66E78F">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left="480" w:hanging="480" w:hanging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（一）付款方式：</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br w:type="textWrapping"/>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乙方完成全部产品服务交付，甲方验收合格、乙方开具全额合规发票后，甲方10个工</w:t>
      </w:r>
    </w:p>
    <w:p w14:paraId="420F0776">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left="480" w:hanging="480" w:hangingChars="200"/>
        <w:textAlignment w:val="baseline"/>
        <w:rPr>
          <w:rFonts w:hint="default"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作日内支付该项目100%合同款项。</w:t>
      </w:r>
    </w:p>
    <w:p w14:paraId="07DA8C29">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（二）交货期及交货地点</w:t>
      </w:r>
    </w:p>
    <w:p w14:paraId="7500994C">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1）要求中标供应商在合同签订后10天内完成部署、安装、调试（具体开工日期以采购人通知为准）；若提供的系统和设备与投标文件中要求的不相符，采购人有权立即终止合同，并上报采购监管部门追究其法律责任。</w:t>
      </w:r>
    </w:p>
    <w:p w14:paraId="50137C2B">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（2）交付地点：校方指定地点。</w:t>
      </w:r>
    </w:p>
    <w:p w14:paraId="1F6016AF">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（3）中标单位需负责录入采购单位教师、学生基本信息。</w:t>
      </w:r>
    </w:p>
    <w:p w14:paraId="1533A0AC">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（三）质保要求</w:t>
      </w:r>
    </w:p>
    <w:p w14:paraId="4B2CA204">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（1）质保期：软件服务质保期为5年，硬件服务质保期为1年。本项目产品的质量质保期为自验收通过之日起，所有产品均需在质保期内免费上门维修或更换，费用由中标人承担。</w:t>
      </w:r>
    </w:p>
    <w:p w14:paraId="07CF4848">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（2）服务响应时间：产品故障报修的响应时间：7*24小时响应，4小时到达现场，72小时解决故障，72小时内解决不了，提供备用设备。</w:t>
      </w:r>
    </w:p>
    <w:p w14:paraId="04EDC637">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（3）服务内容：包括但不限于平台已购功能升级、优化，系统维护、产品培训、技术支持、网络流量等跟平台使用相关的内容。</w:t>
      </w:r>
    </w:p>
    <w:p w14:paraId="7B0EA590">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（四）培训要求</w:t>
      </w:r>
    </w:p>
    <w:p w14:paraId="4BA83954">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采购人的操作人员及系统管理维护人员进行培训，使培训的操作人员按操作规程能够独立操作，培训次数和人数按照采购人需求而定。培训费用由中标人承担。</w:t>
      </w:r>
    </w:p>
    <w:p w14:paraId="160C050F">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（五）知识产权</w:t>
      </w:r>
    </w:p>
    <w:p w14:paraId="427E2DEA">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中标供应商须保证交付成果所涉内容均获得合法授权，不存在任何知识产权瑕疵。因版权等知识产权纠纷产生的一切法律责任及损失均由中标供应商全额承担，采购人保留追究法律责任及索赔的权利。</w:t>
      </w:r>
    </w:p>
    <w:p w14:paraId="0055C311">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（六）涉密要求</w:t>
      </w:r>
    </w:p>
    <w:p w14:paraId="1B727D00">
      <w:pPr>
        <w:pStyle w:val="7"/>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投标方在运营过程中获得的所有文件、数据和其它资料应严格保密，在未经招标方同意的情况下，严禁透露、使用、复制或泄露给任何第三方。严禁安装或链接与系统无关的内容。</w:t>
      </w:r>
    </w:p>
    <w:p w14:paraId="1D513EC8">
      <w:pPr>
        <w:pStyle w:val="7"/>
        <w:keepNext w:val="0"/>
        <w:keepLines w:val="0"/>
        <w:pageBreakBefore w:val="0"/>
        <w:widowControl/>
        <w:numPr>
          <w:ilvl w:val="0"/>
          <w:numId w:val="2"/>
        </w:numPr>
        <w:kinsoku w:val="0"/>
        <w:wordWrap/>
        <w:overflowPunct/>
        <w:topLinePunct w:val="0"/>
        <w:autoSpaceDE w:val="0"/>
        <w:autoSpaceDN w:val="0"/>
        <w:bidi w:val="0"/>
        <w:adjustRightInd w:val="0"/>
        <w:snapToGrid w:val="0"/>
        <w:spacing w:after="0" w:line="360" w:lineRule="auto"/>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验收标准</w:t>
      </w:r>
    </w:p>
    <w:p w14:paraId="432FE07D">
      <w:pPr>
        <w:pStyle w:val="7"/>
        <w:keepNext w:val="0"/>
        <w:keepLines w:val="0"/>
        <w:pageBreakBefore w:val="0"/>
        <w:widowControl/>
        <w:numPr>
          <w:ilvl w:val="0"/>
          <w:numId w:val="3"/>
        </w:numPr>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成交供应商在</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 w:bidi="ar-SA"/>
          <w14:textFill>
            <w14:solidFill>
              <w14:schemeClr w14:val="tx1"/>
            </w14:solidFill>
          </w14:textFill>
          <w:woUserID w:val="1"/>
        </w:rPr>
        <w:t>验收</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应向采购人提交验收申请报告。提请采购人进行验收，采购人在收到成交供应商送交的</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 w:bidi="ar-SA"/>
          <w14:textFill>
            <w14:solidFill>
              <w14:schemeClr w14:val="tx1"/>
            </w14:solidFill>
          </w14:textFill>
          <w:woUserID w:val="1"/>
        </w:rPr>
        <w:t>验收申请</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十日内，组织有关部门进行全面验收，并出具验收报告。</w:t>
      </w:r>
    </w:p>
    <w:p w14:paraId="7FE9DD6D">
      <w:pPr>
        <w:pStyle w:val="7"/>
        <w:keepNext w:val="0"/>
        <w:keepLines w:val="0"/>
        <w:pageBreakBefore w:val="0"/>
        <w:widowControl/>
        <w:numPr>
          <w:ilvl w:val="0"/>
          <w:numId w:val="3"/>
        </w:numPr>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采购文件中的所有技术要求，中标方需在验收时提供功能证明或功能演示，若验收时不符合采购文件及投标文件要求，采购方有权不予以验收通过。</w:t>
      </w:r>
    </w:p>
    <w:p w14:paraId="1C0B0E6F">
      <w:pPr>
        <w:pStyle w:val="7"/>
        <w:keepNext w:val="0"/>
        <w:keepLines w:val="0"/>
        <w:pageBreakBefore w:val="0"/>
        <w:widowControl/>
        <w:numPr>
          <w:ilvl w:val="0"/>
          <w:numId w:val="3"/>
        </w:numPr>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b w:val="0"/>
          <w:bCs w:val="0"/>
          <w:snapToGrid w:val="0"/>
          <w:color w:val="000000" w:themeColor="text1"/>
          <w:spacing w:val="0"/>
          <w:kern w:val="0"/>
          <w:sz w:val="24"/>
          <w:szCs w:val="24"/>
          <w:highlight w:val="none"/>
          <w:vertAlign w:val="baseline"/>
          <w:lang w:val="en-US" w:eastAsia="zh" w:bidi="ar-SA"/>
          <w14:textFill>
            <w14:solidFill>
              <w14:schemeClr w14:val="tx1"/>
            </w14:solidFill>
          </w14:textFill>
          <w:woUserID w:val="1"/>
        </w:rPr>
      </w:pP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验收标准：达到国家、行业及地方现行相关法律法规，规范及技术标准及采购人有关质量技术要求</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 w:bidi="ar-SA"/>
          <w14:textFill>
            <w14:solidFill>
              <w14:schemeClr w14:val="tx1"/>
            </w14:solidFill>
          </w14:textFill>
          <w:woUserID w:val="1"/>
        </w:rPr>
        <w:t>，即</w:t>
      </w:r>
      <w:r>
        <w:rPr>
          <w:rFonts w:hint="eastAsia" w:ascii="宋体" w:hAnsi="宋体" w:eastAsia="宋体" w:cs="宋体"/>
          <w:b w:val="0"/>
          <w:bCs w:val="0"/>
          <w:snapToGrid w:val="0"/>
          <w:color w:val="000000" w:themeColor="text1"/>
          <w:spacing w:val="0"/>
          <w:kern w:val="0"/>
          <w:sz w:val="24"/>
          <w:szCs w:val="24"/>
          <w:highlight w:val="none"/>
          <w:vertAlign w:val="baseline"/>
          <w:lang w:val="en-US" w:eastAsia="zh-CN" w:bidi="ar-SA"/>
          <w14:textFill>
            <w14:solidFill>
              <w14:schemeClr w14:val="tx1"/>
            </w14:solidFill>
          </w14:textFill>
          <w:woUserID w:val="1"/>
        </w:rPr>
        <w:t>按采购人技术要求达到各项条款，保证采购单位的教师、学生可正常使用；符合国家相关规范及行业规范，保证系统的可靠性、安全性，包括应用系统自身及相关的中间件、操作系统在内的安装配置、账号管理等项目实施过程的安全；严禁安装与系统无关的程序。</w:t>
      </w:r>
      <w:bookmarkEnd w:id="0"/>
      <w:bookmarkEnd w:id="1"/>
    </w:p>
    <w:p w14:paraId="672DB93A">
      <w:pPr>
        <w:pStyle w:val="2"/>
        <w:bidi w:val="0"/>
        <w:rPr>
          <w:rFonts w:hint="eastAsia"/>
          <w:b/>
          <w:highlight w:val="none"/>
          <w:lang w:val="en-US" w:eastAsia="zh-CN"/>
        </w:rPr>
      </w:pPr>
      <w:r>
        <w:rPr>
          <w:rFonts w:hint="eastAsia"/>
          <w:b/>
          <w:highlight w:val="none"/>
          <w:lang w:val="en-US" w:eastAsia="zh"/>
          <w:woUserID w:val="1"/>
        </w:rPr>
        <w:t>四</w:t>
      </w:r>
      <w:r>
        <w:rPr>
          <w:rFonts w:hint="eastAsia"/>
          <w:b/>
          <w:highlight w:val="none"/>
          <w:lang w:val="en-US" w:eastAsia="zh-CN"/>
        </w:rPr>
        <w:t>、供应商资格</w:t>
      </w:r>
    </w:p>
    <w:p w14:paraId="1D24C731">
      <w:pPr>
        <w:spacing w:line="360" w:lineRule="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（一）供应商须具备《中华人民共和国政府采购法》第二十二条规定的条件</w:t>
      </w:r>
    </w:p>
    <w:p w14:paraId="46E5448E">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1.具有独立承担民事责任的能力；</w:t>
      </w:r>
    </w:p>
    <w:p w14:paraId="74F2D817">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2.具有良好的商业信誉和健全的财务会计制度；</w:t>
      </w:r>
    </w:p>
    <w:p w14:paraId="69AE1912">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3.具有履行合同所必需的设备和专业技术能力；</w:t>
      </w:r>
    </w:p>
    <w:p w14:paraId="64500DCB">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4.有依法缴纳税收和社会保障资金的良好记录；</w:t>
      </w:r>
    </w:p>
    <w:p w14:paraId="0140E84B">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5.参加政府采购活动前三年内，在经营活动中没有重大违法记录；</w:t>
      </w:r>
    </w:p>
    <w:p w14:paraId="4F636C2C">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6.法律、行政法规规定的其他条件。</w:t>
      </w:r>
    </w:p>
    <w:p w14:paraId="007076FC">
      <w:pPr>
        <w:spacing w:line="360" w:lineRule="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（二）落实政府采购政策需满足的资格要求</w:t>
      </w:r>
    </w:p>
    <w:p w14:paraId="59A1B840">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1.供应商被</w:t>
      </w:r>
      <w:r>
        <w:rPr>
          <w:rFonts w:hint="eastAsia" w:ascii="宋体" w:hAnsi="宋体" w:eastAsia="宋体" w:cs="宋体"/>
          <w:b w:val="0"/>
          <w:bCs w:val="0"/>
          <w:snapToGrid w:val="0"/>
          <w:color w:val="auto"/>
          <w:kern w:val="0"/>
          <w:sz w:val="24"/>
          <w:szCs w:val="24"/>
          <w:highlight w:val="none"/>
          <w:lang w:val="en-US" w:eastAsia="zh" w:bidi="ar-SA"/>
          <w:woUserID w:val="1"/>
        </w:rPr>
        <w:t>“</w:t>
      </w:r>
      <w:r>
        <w:rPr>
          <w:rFonts w:hint="eastAsia" w:ascii="宋体" w:hAnsi="宋体" w:eastAsia="宋体" w:cs="宋体"/>
          <w:b w:val="0"/>
          <w:bCs w:val="0"/>
          <w:snapToGrid w:val="0"/>
          <w:color w:val="auto"/>
          <w:kern w:val="0"/>
          <w:sz w:val="24"/>
          <w:szCs w:val="24"/>
          <w:highlight w:val="none"/>
          <w:lang w:val="en-US" w:eastAsia="zh-CN" w:bidi="ar-SA"/>
        </w:rPr>
        <w:t>信用中国</w:t>
      </w:r>
      <w:r>
        <w:rPr>
          <w:rFonts w:hint="eastAsia" w:ascii="宋体" w:hAnsi="宋体" w:eastAsia="宋体" w:cs="宋体"/>
          <w:b w:val="0"/>
          <w:bCs w:val="0"/>
          <w:snapToGrid w:val="0"/>
          <w:color w:val="auto"/>
          <w:kern w:val="0"/>
          <w:sz w:val="24"/>
          <w:szCs w:val="24"/>
          <w:highlight w:val="none"/>
          <w:lang w:val="en-US" w:eastAsia="zh" w:bidi="ar-SA"/>
          <w:woUserID w:val="1"/>
        </w:rPr>
        <w:t>”</w:t>
      </w:r>
      <w:r>
        <w:rPr>
          <w:rFonts w:hint="eastAsia" w:ascii="宋体" w:hAnsi="宋体" w:eastAsia="宋体" w:cs="宋体"/>
          <w:b w:val="0"/>
          <w:bCs w:val="0"/>
          <w:snapToGrid w:val="0"/>
          <w:color w:val="auto"/>
          <w:kern w:val="0"/>
          <w:sz w:val="24"/>
          <w:szCs w:val="24"/>
          <w:highlight w:val="none"/>
          <w:lang w:val="en-US" w:eastAsia="zh-CN" w:bidi="ar-SA"/>
        </w:rPr>
        <w:t>网站列入失信被执行人和重大税收违法失信主体，或被“中国政府采购网”网站列入政府采购严重违法失信行为记录名单（处罚期限尚未届满的），不得参与本项目的政府采购活动。</w:t>
      </w:r>
    </w:p>
    <w:p w14:paraId="120B78D2">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2.单位负责人为同一人或者存在直接控股、管理关系的不同供应商，不得参加同一合同项下的采购活动。</w:t>
      </w:r>
    </w:p>
    <w:p w14:paraId="30C4A3C9">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3.为采购项目提供整体设计、规范编制或者项目管理、监理、检测等服务的供应商不得参加该采购项目的采购活动。</w:t>
      </w:r>
    </w:p>
    <w:p w14:paraId="3040643E">
      <w:pPr>
        <w:spacing w:line="360" w:lineRule="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（三）本项目的特定资格要求</w:t>
      </w:r>
    </w:p>
    <w:p w14:paraId="08945CA6">
      <w:pPr>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本项目不接受联合体报名。</w:t>
      </w:r>
      <w:r>
        <w:rPr>
          <w:rFonts w:hint="eastAsia" w:ascii="宋体" w:hAnsi="宋体" w:eastAsia="宋体" w:cs="宋体"/>
          <w:b w:val="0"/>
          <w:bCs w:val="0"/>
          <w:snapToGrid w:val="0"/>
          <w:color w:val="auto"/>
          <w:kern w:val="0"/>
          <w:sz w:val="24"/>
          <w:szCs w:val="24"/>
          <w:highlight w:val="none"/>
          <w:lang w:val="en-US" w:eastAsia="zh-CN" w:bidi="ar-SA"/>
        </w:rPr>
        <w:br w:type="textWrapping"/>
      </w:r>
      <w:r>
        <w:rPr>
          <w:rFonts w:hint="eastAsia" w:ascii="宋体" w:hAnsi="宋体" w:eastAsia="宋体" w:cs="宋体"/>
          <w:b w:val="0"/>
          <w:bCs w:val="0"/>
          <w:snapToGrid w:val="0"/>
          <w:color w:val="auto"/>
          <w:kern w:val="0"/>
          <w:sz w:val="24"/>
          <w:szCs w:val="24"/>
          <w:highlight w:val="none"/>
          <w:lang w:val="en-US" w:eastAsia="zh-CN" w:bidi="ar-SA"/>
        </w:rPr>
        <w:t>（四）本项目非专门面向中小微企业采购。</w:t>
      </w:r>
    </w:p>
    <w:p w14:paraId="2FF4D6D3">
      <w:pPr>
        <w:pStyle w:val="4"/>
        <w:rPr>
          <w:rFonts w:hint="default"/>
          <w:lang w:val="en-US" w:eastAsia="zh-CN"/>
        </w:rPr>
      </w:pPr>
    </w:p>
    <w:p w14:paraId="3786887E"/>
    <w:sectPr>
      <w:footerReference r:id="rId3" w:type="default"/>
      <w:pgSz w:w="11906" w:h="16839"/>
      <w:pgMar w:top="1431" w:right="1307" w:bottom="1171" w:left="1307" w:header="850" w:footer="1247"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15BAE">
    <w:pPr>
      <w:spacing w:line="172" w:lineRule="auto"/>
      <w:ind w:left="4565"/>
      <w:rPr>
        <w:rFonts w:hint="eastAsia"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71FCD">
                          <w:pPr>
                            <w:pStyle w:val="6"/>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3C471FCD">
                    <w:pPr>
                      <w:pStyle w:val="6"/>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6F8F5"/>
    <w:multiLevelType w:val="singleLevel"/>
    <w:tmpl w:val="DCB6F8F5"/>
    <w:lvl w:ilvl="0" w:tentative="0">
      <w:start w:val="1"/>
      <w:numFmt w:val="decimal"/>
      <w:suff w:val="nothing"/>
      <w:lvlText w:val="（%1）"/>
      <w:lvlJc w:val="left"/>
    </w:lvl>
  </w:abstractNum>
  <w:abstractNum w:abstractNumId="1">
    <w:nsid w:val="FFFBAC60"/>
    <w:multiLevelType w:val="singleLevel"/>
    <w:tmpl w:val="FFFBAC60"/>
    <w:lvl w:ilvl="0" w:tentative="0">
      <w:start w:val="7"/>
      <w:numFmt w:val="chineseCounting"/>
      <w:suff w:val="nothing"/>
      <w:lvlText w:val="（%1）"/>
      <w:lvlJc w:val="left"/>
      <w:rPr>
        <w:rFonts w:hint="eastAsia"/>
      </w:rPr>
    </w:lvl>
  </w:abstractNum>
  <w:abstractNum w:abstractNumId="2">
    <w:nsid w:val="51536A8D"/>
    <w:multiLevelType w:val="singleLevel"/>
    <w:tmpl w:val="51536A8D"/>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5A1E6B"/>
    <w:rsid w:val="4AD23053"/>
    <w:rsid w:val="581549E0"/>
    <w:rsid w:val="79D4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unhideWhenUsed/>
    <w:qFormat/>
    <w:uiPriority w:val="99"/>
    <w:pPr>
      <w:adjustRightInd w:val="0"/>
      <w:spacing w:line="360" w:lineRule="atLeast"/>
      <w:jc w:val="center"/>
      <w:textAlignment w:val="baseline"/>
    </w:pPr>
    <w:rPr>
      <w:kern w:val="0"/>
      <w:sz w:val="24"/>
      <w:szCs w:val="20"/>
    </w:rPr>
  </w:style>
  <w:style w:type="paragraph" w:styleId="5">
    <w:name w:val="Body Text First Indent"/>
    <w:basedOn w:val="4"/>
    <w:next w:val="1"/>
    <w:unhideWhenUsed/>
    <w:qFormat/>
    <w:uiPriority w:val="0"/>
    <w:pPr>
      <w:ind w:firstLine="420" w:firstLineChars="100"/>
    </w:pPr>
  </w:style>
  <w:style w:type="paragraph" w:styleId="6">
    <w:name w:val="footer"/>
    <w:basedOn w:val="1"/>
    <w:qFormat/>
    <w:uiPriority w:val="0"/>
    <w:pPr>
      <w:tabs>
        <w:tab w:val="center" w:pos="4153"/>
        <w:tab w:val="right" w:pos="8306"/>
      </w:tabs>
      <w:snapToGrid w:val="0"/>
      <w:jc w:val="left"/>
    </w:pPr>
    <w:rPr>
      <w:sz w:val="18"/>
    </w:rPr>
  </w:style>
  <w:style w:type="paragraph" w:styleId="7">
    <w:name w:val="Body Text 2"/>
    <w:basedOn w:val="1"/>
    <w:qFormat/>
    <w:uiPriority w:val="0"/>
    <w:pPr>
      <w:spacing w:after="120" w:line="480" w:lineRule="auto"/>
    </w:pPr>
    <w:rPr>
      <w:rFonts w:ascii="Times New Roman" w:hAnsi="Times New Roman"/>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Table Text"/>
    <w:basedOn w:val="1"/>
    <w:semiHidden/>
    <w:qFormat/>
    <w:uiPriority w:val="0"/>
    <w:rPr>
      <w:rFonts w:ascii="PingFang SC" w:hAnsi="PingFang SC" w:eastAsia="PingFang SC" w:cs="PingFang SC"/>
      <w:sz w:val="19"/>
      <w:szCs w:val="19"/>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8788</Words>
  <Characters>9330</Characters>
  <Lines>0</Lines>
  <Paragraphs>0</Paragraphs>
  <TotalTime>27</TotalTime>
  <ScaleCrop>false</ScaleCrop>
  <LinksUpToDate>false</LinksUpToDate>
  <CharactersWithSpaces>9415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2026-09-02T00:29:00Z</dcterms:created>
  <dc:creator>高立冬</dc:creator>
  <cp:lastModifiedBy>谢飞飞</cp:lastModifiedBy>
  <dcterms:modified xsi:type="dcterms:W3CDTF">2026-10-10T01:19:57Z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eyJoZGlkIjoiNDVhOGE0MTk1OWRkMzlmZTJiOTVkNTllNDUxNWE4Y2MiLCJ1c2VySWQiOiI2NDQ0ODYyNjcifQ==</vt:lpwstr>
  </property>
  <property fmtid="{D5CDD505-2E9C-101B-9397-08002B2CF9AE}" pid="4" name="ICV">
    <vt:lpwstr>F18EC88B362440F1BDB4A4BC731674DC_12</vt:lpwstr>
  </property>
</Properties>
</file>